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3EB0E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1D4BC8" w14:textId="77777777" w:rsidR="00F7642A" w:rsidRPr="00F7642A" w:rsidRDefault="00F7642A" w:rsidP="00F7642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</w:p>
    <w:p w14:paraId="6BF10D5F" w14:textId="77777777" w:rsidR="00F7642A" w:rsidRPr="00F7642A" w:rsidRDefault="00296B7C" w:rsidP="00F7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Blood Glucose Level</w:t>
      </w:r>
      <w:r w:rsidR="00F7642A" w:rsidRPr="00F7642A">
        <w:rPr>
          <w:rFonts w:ascii="Times New Roman" w:eastAsia="Times New Roman" w:hAnsi="Times New Roman" w:cs="Times New Roman"/>
          <w:sz w:val="28"/>
          <w:szCs w:val="28"/>
        </w:rPr>
        <w:t xml:space="preserve"> of White Rats</w:t>
      </w:r>
      <w:r w:rsidR="00F7642A"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A" w:rsidRPr="00F7642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7642A" w:rsidRPr="00F7642A">
        <w:rPr>
          <w:rFonts w:ascii="Times New Roman" w:eastAsia="Times New Roman" w:hAnsi="Times New Roman" w:cs="Times New Roman"/>
          <w:i/>
          <w:iCs/>
          <w:sz w:val="28"/>
          <w:szCs w:val="28"/>
        </w:rPr>
        <w:t>Rattus</w:t>
      </w:r>
      <w:proofErr w:type="spellEnd"/>
      <w:r w:rsidR="00F7642A" w:rsidRPr="00F764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642A" w:rsidRPr="00F7642A">
        <w:rPr>
          <w:rFonts w:ascii="Times New Roman" w:eastAsia="Times New Roman" w:hAnsi="Times New Roman" w:cs="Times New Roman"/>
          <w:i/>
          <w:iCs/>
          <w:sz w:val="28"/>
          <w:szCs w:val="28"/>
        </w:rPr>
        <w:t>norvegicus</w:t>
      </w:r>
      <w:proofErr w:type="spellEnd"/>
      <w:r w:rsidR="00F7642A" w:rsidRPr="00F764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642A"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After Giving Catf</w:t>
      </w:r>
      <w:r w:rsidR="00F7642A" w:rsidRPr="00F7642A">
        <w:rPr>
          <w:rFonts w:ascii="Times New Roman" w:eastAsia="Times New Roman" w:hAnsi="Times New Roman" w:cs="Times New Roman"/>
          <w:sz w:val="28"/>
          <w:szCs w:val="28"/>
        </w:rPr>
        <w:t xml:space="preserve">ish </w:t>
      </w:r>
      <w:r>
        <w:rPr>
          <w:rFonts w:ascii="Times New Roman" w:eastAsia="Times New Roman" w:hAnsi="Times New Roman" w:cs="Times New Roman"/>
          <w:sz w:val="28"/>
          <w:szCs w:val="28"/>
          <w:lang w:val="id-ID"/>
        </w:rPr>
        <w:t xml:space="preserve">Biscuit </w:t>
      </w:r>
      <w:r w:rsidR="00F7642A" w:rsidRPr="00F7642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7642A" w:rsidRPr="00F7642A">
        <w:rPr>
          <w:rFonts w:ascii="Times New Roman" w:eastAsia="Times New Roman" w:hAnsi="Times New Roman" w:cs="Times New Roman"/>
          <w:i/>
          <w:iCs/>
          <w:sz w:val="28"/>
          <w:szCs w:val="28"/>
        </w:rPr>
        <w:t>Pangasius</w:t>
      </w:r>
      <w:proofErr w:type="spellEnd"/>
      <w:r w:rsidR="00F7642A" w:rsidRPr="00F764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642A" w:rsidRPr="00F7642A">
        <w:rPr>
          <w:rFonts w:ascii="Times New Roman" w:eastAsia="Times New Roman" w:hAnsi="Times New Roman" w:cs="Times New Roman"/>
          <w:i/>
          <w:iCs/>
          <w:sz w:val="28"/>
          <w:szCs w:val="28"/>
        </w:rPr>
        <w:t>hypopthalmus</w:t>
      </w:r>
      <w:proofErr w:type="spellEnd"/>
      <w:r w:rsidR="00F7642A" w:rsidRPr="00F764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642A"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AEDED" w14:textId="77777777" w:rsidR="00F7642A" w:rsidRPr="00F7642A" w:rsidRDefault="00F7642A" w:rsidP="00F7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7A64CAD" w14:textId="77777777" w:rsidR="00F7642A" w:rsidRPr="00F7642A" w:rsidRDefault="00F7642A" w:rsidP="00276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14:paraId="71D86FCC" w14:textId="77777777" w:rsidR="00F7642A" w:rsidRPr="00F7642A" w:rsidRDefault="00F7642A" w:rsidP="00F7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>Hidayaturrahmah</w:t>
      </w:r>
      <w:proofErr w:type="spellEnd"/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B7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>Heri</w:t>
      </w:r>
      <w:proofErr w:type="spellEnd"/>
      <w:r w:rsidRP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Budi </w:t>
      </w:r>
      <w:proofErr w:type="spellStart"/>
      <w:r w:rsidRP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>Santoso</w:t>
      </w:r>
      <w:proofErr w:type="spellEnd"/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B7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42A">
        <w:rPr>
          <w:rFonts w:ascii="Times New Roman" w:eastAsia="Times New Roman" w:hAnsi="Times New Roman" w:cs="Times New Roman"/>
          <w:b/>
          <w:bCs/>
          <w:sz w:val="20"/>
          <w:szCs w:val="20"/>
        </w:rPr>
        <w:t>Ridha</w:t>
      </w:r>
      <w:proofErr w:type="spellEnd"/>
      <w:r w:rsidRPr="00F764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7642A">
        <w:rPr>
          <w:rFonts w:ascii="Times New Roman" w:eastAsia="Times New Roman" w:hAnsi="Times New Roman" w:cs="Times New Roman"/>
          <w:b/>
          <w:bCs/>
          <w:sz w:val="20"/>
          <w:szCs w:val="20"/>
        </w:rPr>
        <w:t>Aulia</w:t>
      </w:r>
      <w:proofErr w:type="spellEnd"/>
      <w:r w:rsidRPr="00F764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7642A">
        <w:rPr>
          <w:rFonts w:ascii="Times New Roman" w:eastAsia="Times New Roman" w:hAnsi="Times New Roman" w:cs="Times New Roman"/>
          <w:b/>
          <w:bCs/>
          <w:sz w:val="20"/>
          <w:szCs w:val="20"/>
        </w:rPr>
        <w:t>Rahmi</w:t>
      </w:r>
      <w:proofErr w:type="spellEnd"/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B7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F7642A">
        <w:rPr>
          <w:rFonts w:ascii="Times New Roman" w:eastAsia="Times New Roman" w:hAnsi="Times New Roman" w:cs="Times New Roman"/>
          <w:b/>
          <w:bCs/>
          <w:sz w:val="13"/>
          <w:szCs w:val="13"/>
          <w:vertAlign w:val="superscript"/>
        </w:rPr>
        <w:t>,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42A">
        <w:rPr>
          <w:rFonts w:ascii="Times New Roman" w:eastAsia="Times New Roman" w:hAnsi="Times New Roman" w:cs="Times New Roman"/>
          <w:b/>
          <w:bCs/>
          <w:sz w:val="20"/>
          <w:szCs w:val="20"/>
        </w:rPr>
        <w:t>Dewi</w:t>
      </w:r>
      <w:proofErr w:type="spellEnd"/>
      <w:r w:rsidRPr="00F764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Kartikasari</w:t>
      </w:r>
      <w:r w:rsidRPr="00296B7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29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5D4FB" w14:textId="77777777" w:rsidR="00F7642A" w:rsidRPr="00F7642A" w:rsidRDefault="00F7642A" w:rsidP="008F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76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D085C00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4BE5C64" w14:textId="45E682A3" w:rsidR="00F7642A" w:rsidRPr="00F7642A" w:rsidRDefault="00F7642A" w:rsidP="00276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b/>
          <w:bCs/>
        </w:rPr>
        <w:t>ABSTRACT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5EB53DA" w14:textId="77777777" w:rsidR="00F7642A" w:rsidRPr="00F7642A" w:rsidRDefault="00F7642A" w:rsidP="00F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</w:rPr>
        <w:t>Glucose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7C">
        <w:rPr>
          <w:rFonts w:ascii="Times New Roman" w:eastAsia="Times New Roman" w:hAnsi="Times New Roman" w:cs="Times New Roman"/>
        </w:rPr>
        <w:t xml:space="preserve">is important </w:t>
      </w:r>
      <w:proofErr w:type="gramStart"/>
      <w:r w:rsidR="00296B7C">
        <w:rPr>
          <w:rFonts w:ascii="Times New Roman" w:eastAsia="Times New Roman" w:hAnsi="Times New Roman" w:cs="Times New Roman"/>
        </w:rPr>
        <w:t>carbohydrate</w:t>
      </w:r>
      <w:r w:rsidR="00296B7C">
        <w:rPr>
          <w:rFonts w:ascii="Times New Roman" w:eastAsia="Times New Roman" w:hAnsi="Times New Roman" w:cs="Times New Roman"/>
          <w:lang w:val="id-ID"/>
        </w:rPr>
        <w:t xml:space="preserve"> which is</w:t>
      </w:r>
      <w:r w:rsidRPr="00F7642A">
        <w:rPr>
          <w:rFonts w:ascii="Times New Roman" w:eastAsia="Times New Roman" w:hAnsi="Times New Roman" w:cs="Times New Roman"/>
        </w:rPr>
        <w:t xml:space="preserve"> more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absorbed into the bloodstream as glucose and</w:t>
      </w:r>
      <w:r w:rsidR="00695789">
        <w:rPr>
          <w:rFonts w:ascii="Times New Roman" w:eastAsia="Times New Roman" w:hAnsi="Times New Roman" w:cs="Times New Roman"/>
        </w:rPr>
        <w:t xml:space="preserve"> other </w:t>
      </w:r>
      <w:r w:rsidR="00695789">
        <w:rPr>
          <w:rFonts w:ascii="Times New Roman" w:eastAsia="Times New Roman" w:hAnsi="Times New Roman" w:cs="Times New Roman"/>
          <w:sz w:val="24"/>
          <w:szCs w:val="24"/>
        </w:rPr>
        <w:t>sugar</w:t>
      </w:r>
      <w:proofErr w:type="gramEnd"/>
      <w:r w:rsidR="00695789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 xml:space="preserve">changed </w:t>
      </w:r>
      <w:r w:rsidR="00296B7C">
        <w:rPr>
          <w:rFonts w:ascii="Times New Roman" w:eastAsia="Times New Roman" w:hAnsi="Times New Roman" w:cs="Times New Roman"/>
          <w:lang w:val="id-ID"/>
        </w:rPr>
        <w:t>in</w:t>
      </w:r>
      <w:r w:rsidRPr="00F7642A">
        <w:rPr>
          <w:rFonts w:ascii="Times New Roman" w:eastAsia="Times New Roman" w:hAnsi="Times New Roman" w:cs="Times New Roman"/>
        </w:rPr>
        <w:t>to glucose in the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liver.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7C">
        <w:rPr>
          <w:rFonts w:ascii="Times New Roman" w:eastAsia="Times New Roman" w:hAnsi="Times New Roman" w:cs="Times New Roman"/>
        </w:rPr>
        <w:t>Blood glucose level is</w:t>
      </w:r>
      <w:r w:rsidRPr="00F7642A">
        <w:rPr>
          <w:rFonts w:ascii="Times New Roman" w:eastAsia="Times New Roman" w:hAnsi="Times New Roman" w:cs="Times New Roman"/>
        </w:rPr>
        <w:t xml:space="preserve"> closely related to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diabetes mellitus.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Diabetes mellitus is a disease that arises in a person</w:t>
      </w:r>
      <w:r w:rsidR="00296B7C">
        <w:rPr>
          <w:rFonts w:ascii="Times New Roman" w:eastAsia="Times New Roman" w:hAnsi="Times New Roman" w:cs="Times New Roman"/>
        </w:rPr>
        <w:t xml:space="preserve"> which is indicated by the</w:t>
      </w:r>
      <w:r w:rsidRPr="00F7642A">
        <w:rPr>
          <w:rFonts w:ascii="Times New Roman" w:eastAsia="Times New Roman" w:hAnsi="Times New Roman" w:cs="Times New Roman"/>
        </w:rPr>
        <w:t xml:space="preserve"> presence of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blood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7C">
        <w:rPr>
          <w:rFonts w:ascii="Times New Roman" w:eastAsia="Times New Roman" w:hAnsi="Times New Roman" w:cs="Times New Roman"/>
        </w:rPr>
        <w:t>glucose level</w:t>
      </w:r>
      <w:r w:rsidRPr="00F7642A">
        <w:rPr>
          <w:rFonts w:ascii="Times New Roman" w:eastAsia="Times New Roman" w:hAnsi="Times New Roman" w:cs="Times New Roman"/>
        </w:rPr>
        <w:t xml:space="preserve"> exceeding normal (hyperglycemia) due to </w:t>
      </w:r>
      <w:r w:rsidR="00296B7C">
        <w:rPr>
          <w:rFonts w:ascii="Times New Roman" w:eastAsia="Times New Roman" w:hAnsi="Times New Roman" w:cs="Times New Roman"/>
          <w:lang w:val="id-ID"/>
        </w:rPr>
        <w:t>the</w:t>
      </w:r>
      <w:r w:rsidR="00296B7C">
        <w:rPr>
          <w:rFonts w:ascii="Times New Roman" w:eastAsia="Times New Roman" w:hAnsi="Times New Roman" w:cs="Times New Roman"/>
        </w:rPr>
        <w:t xml:space="preserve"> deficiency of the </w:t>
      </w:r>
      <w:r w:rsidRPr="00F7642A">
        <w:rPr>
          <w:rFonts w:ascii="Times New Roman" w:eastAsia="Times New Roman" w:hAnsi="Times New Roman" w:cs="Times New Roman"/>
        </w:rPr>
        <w:t>insulin</w:t>
      </w:r>
      <w:r w:rsidR="00296B7C">
        <w:rPr>
          <w:rFonts w:ascii="Times New Roman" w:eastAsia="Times New Roman" w:hAnsi="Times New Roman" w:cs="Times New Roman"/>
          <w:lang w:val="id-ID"/>
        </w:rPr>
        <w:t xml:space="preserve"> hormone in the body</w:t>
      </w:r>
      <w:r w:rsidRPr="00F7642A">
        <w:rPr>
          <w:rFonts w:ascii="Times New Roman" w:eastAsia="Times New Roman" w:hAnsi="Times New Roman" w:cs="Times New Roman"/>
        </w:rPr>
        <w:t>.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866">
        <w:rPr>
          <w:rFonts w:ascii="Times New Roman" w:eastAsia="Times New Roman" w:hAnsi="Times New Roman" w:cs="Times New Roman"/>
        </w:rPr>
        <w:t>The design of this research</w:t>
      </w:r>
      <w:r w:rsidRPr="00F7642A">
        <w:rPr>
          <w:rFonts w:ascii="Times New Roman" w:eastAsia="Times New Roman" w:hAnsi="Times New Roman" w:cs="Times New Roman"/>
        </w:rPr>
        <w:t xml:space="preserve"> </w:t>
      </w:r>
      <w:r w:rsidR="00597866">
        <w:rPr>
          <w:rFonts w:ascii="Times New Roman" w:eastAsia="Times New Roman" w:hAnsi="Times New Roman" w:cs="Times New Roman"/>
          <w:lang w:val="id-ID"/>
        </w:rPr>
        <w:t xml:space="preserve">was </w:t>
      </w:r>
      <w:r w:rsidRPr="00F7642A">
        <w:rPr>
          <w:rFonts w:ascii="Times New Roman" w:eastAsia="Times New Roman" w:hAnsi="Times New Roman" w:cs="Times New Roman"/>
        </w:rPr>
        <w:t xml:space="preserve">using RAL with 24 male </w:t>
      </w:r>
      <w:r w:rsidR="00276364">
        <w:rPr>
          <w:rFonts w:ascii="Times New Roman" w:eastAsia="Times New Roman" w:hAnsi="Times New Roman" w:cs="Times New Roman"/>
        </w:rPr>
        <w:t>rats</w:t>
      </w:r>
      <w:r w:rsidRPr="00F7642A">
        <w:rPr>
          <w:rFonts w:ascii="Times New Roman" w:eastAsia="Times New Roman" w:hAnsi="Times New Roman" w:cs="Times New Roman"/>
        </w:rPr>
        <w:t xml:space="preserve"> </w:t>
      </w:r>
      <w:r w:rsidR="00597866">
        <w:rPr>
          <w:rFonts w:ascii="Times New Roman" w:eastAsia="Times New Roman" w:hAnsi="Times New Roman" w:cs="Times New Roman"/>
          <w:lang w:val="id-ID"/>
        </w:rPr>
        <w:t xml:space="preserve">that </w:t>
      </w:r>
      <w:r w:rsidRPr="00F7642A">
        <w:rPr>
          <w:rFonts w:ascii="Times New Roman" w:eastAsia="Times New Roman" w:hAnsi="Times New Roman" w:cs="Times New Roman"/>
        </w:rPr>
        <w:t>d</w:t>
      </w:r>
      <w:r w:rsidR="00597866">
        <w:rPr>
          <w:rFonts w:ascii="Times New Roman" w:eastAsia="Times New Roman" w:hAnsi="Times New Roman" w:cs="Times New Roman"/>
        </w:rPr>
        <w:t>ivided into 6 treatments which were</w:t>
      </w:r>
      <w:r w:rsidRPr="00F7642A">
        <w:rPr>
          <w:rFonts w:ascii="Times New Roman" w:eastAsia="Times New Roman" w:hAnsi="Times New Roman" w:cs="Times New Roman"/>
        </w:rPr>
        <w:t xml:space="preserve"> normal wit</w:t>
      </w:r>
      <w:r w:rsidR="00597866">
        <w:rPr>
          <w:rFonts w:ascii="Times New Roman" w:eastAsia="Times New Roman" w:hAnsi="Times New Roman" w:cs="Times New Roman"/>
        </w:rPr>
        <w:t>h the giving of Na-CMC 0.5% 1mL/</w:t>
      </w:r>
      <w:r w:rsidRPr="00F7642A">
        <w:rPr>
          <w:rFonts w:ascii="Times New Roman" w:eastAsia="Times New Roman" w:hAnsi="Times New Roman" w:cs="Times New Roman"/>
        </w:rPr>
        <w:t>200 gram BB, negative wit</w:t>
      </w:r>
      <w:r w:rsidR="00597866">
        <w:rPr>
          <w:rFonts w:ascii="Times New Roman" w:eastAsia="Times New Roman" w:hAnsi="Times New Roman" w:cs="Times New Roman"/>
        </w:rPr>
        <w:t>h the giving of Na-CMC 0.5% 1mL/</w:t>
      </w:r>
      <w:r w:rsidRPr="00F7642A">
        <w:rPr>
          <w:rFonts w:ascii="Times New Roman" w:eastAsia="Times New Roman" w:hAnsi="Times New Roman" w:cs="Times New Roman"/>
        </w:rPr>
        <w:t xml:space="preserve">200 gram BB, positive with </w:t>
      </w:r>
      <w:r w:rsidR="00597866">
        <w:rPr>
          <w:rFonts w:ascii="Times New Roman" w:eastAsia="Times New Roman" w:hAnsi="Times New Roman" w:cs="Times New Roman"/>
          <w:lang w:val="id-ID"/>
        </w:rPr>
        <w:t xml:space="preserve">the giving of </w:t>
      </w:r>
      <w:proofErr w:type="spellStart"/>
      <w:r w:rsidR="00597866">
        <w:rPr>
          <w:rFonts w:ascii="Times New Roman" w:eastAsia="Times New Roman" w:hAnsi="Times New Roman" w:cs="Times New Roman"/>
        </w:rPr>
        <w:t>glibenclamide</w:t>
      </w:r>
      <w:proofErr w:type="spellEnd"/>
      <w:r w:rsidR="00597866">
        <w:rPr>
          <w:rFonts w:ascii="Times New Roman" w:eastAsia="Times New Roman" w:hAnsi="Times New Roman" w:cs="Times New Roman"/>
        </w:rPr>
        <w:t xml:space="preserve"> of 0.45 mg/kg BB</w:t>
      </w:r>
      <w:r w:rsidRPr="00F7642A">
        <w:rPr>
          <w:rFonts w:ascii="Times New Roman" w:eastAsia="Times New Roman" w:hAnsi="Times New Roman" w:cs="Times New Roman"/>
        </w:rPr>
        <w:t xml:space="preserve"> and 3 o</w:t>
      </w:r>
      <w:r w:rsidR="00597866">
        <w:rPr>
          <w:rFonts w:ascii="Times New Roman" w:eastAsia="Times New Roman" w:hAnsi="Times New Roman" w:cs="Times New Roman"/>
        </w:rPr>
        <w:t>ther treatments by giving catfish biscuit</w:t>
      </w:r>
      <w:r w:rsidRPr="00F7642A">
        <w:rPr>
          <w:rFonts w:ascii="Times New Roman" w:eastAsia="Times New Roman" w:hAnsi="Times New Roman" w:cs="Times New Roman"/>
        </w:rPr>
        <w:t xml:space="preserve"> (Formula A, formula B and formula C) with 4 replications.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 xml:space="preserve">All treatments were injected with monohydrate </w:t>
      </w:r>
      <w:proofErr w:type="spellStart"/>
      <w:r w:rsidR="00597866" w:rsidRPr="00F7642A">
        <w:rPr>
          <w:rFonts w:ascii="Times New Roman" w:eastAsia="Times New Roman" w:hAnsi="Times New Roman" w:cs="Times New Roman"/>
        </w:rPr>
        <w:t>alloxan</w:t>
      </w:r>
      <w:proofErr w:type="spellEnd"/>
      <w:r w:rsidR="00597866" w:rsidRPr="00F7642A">
        <w:rPr>
          <w:rFonts w:ascii="Times New Roman" w:eastAsia="Times New Roman" w:hAnsi="Times New Roman" w:cs="Times New Roman"/>
        </w:rPr>
        <w:t xml:space="preserve"> </w:t>
      </w:r>
      <w:r w:rsidR="00597866">
        <w:rPr>
          <w:rFonts w:ascii="Times New Roman" w:eastAsia="Times New Roman" w:hAnsi="Times New Roman" w:cs="Times New Roman"/>
        </w:rPr>
        <w:t>at a dose of 150 mg/kg BW, except for the</w:t>
      </w:r>
      <w:r w:rsidRPr="00F7642A">
        <w:rPr>
          <w:rFonts w:ascii="Times New Roman" w:eastAsia="Times New Roman" w:hAnsi="Times New Roman" w:cs="Times New Roman"/>
        </w:rPr>
        <w:t xml:space="preserve"> normal treatment.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The results showed that the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formulation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866">
        <w:rPr>
          <w:rFonts w:ascii="Times New Roman" w:eastAsia="Times New Roman" w:hAnsi="Times New Roman" w:cs="Times New Roman"/>
        </w:rPr>
        <w:t>of catfish biscuit</w:t>
      </w:r>
      <w:r w:rsidRPr="00F7642A">
        <w:rPr>
          <w:rFonts w:ascii="Times New Roman" w:eastAsia="Times New Roman" w:hAnsi="Times New Roman" w:cs="Times New Roman"/>
        </w:rPr>
        <w:t xml:space="preserve"> can lower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8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the </w:t>
      </w:r>
      <w:r w:rsidRPr="00F7642A">
        <w:rPr>
          <w:rFonts w:ascii="Times New Roman" w:eastAsia="Times New Roman" w:hAnsi="Times New Roman" w:cs="Times New Roman"/>
        </w:rPr>
        <w:t>blood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866">
        <w:rPr>
          <w:rFonts w:ascii="Times New Roman" w:eastAsia="Times New Roman" w:hAnsi="Times New Roman" w:cs="Times New Roman"/>
        </w:rPr>
        <w:t>glucose level</w:t>
      </w:r>
      <w:r w:rsidRPr="00F7642A">
        <w:rPr>
          <w:rFonts w:ascii="Times New Roman" w:eastAsia="Times New Roman" w:hAnsi="Times New Roman" w:cs="Times New Roman"/>
        </w:rPr>
        <w:t xml:space="preserve"> of white rats.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The composition of biscuit with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formula C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has</w:t>
      </w:r>
      <w:r w:rsidR="00597866">
        <w:rPr>
          <w:rFonts w:ascii="Times New Roman" w:eastAsia="Times New Roman" w:hAnsi="Times New Roman" w:cs="Times New Roman"/>
        </w:rPr>
        <w:t xml:space="preserve"> the highest </w:t>
      </w:r>
      <w:r w:rsidR="00597866">
        <w:rPr>
          <w:rFonts w:ascii="Times New Roman" w:eastAsia="Times New Roman" w:hAnsi="Times New Roman" w:cs="Times New Roman"/>
          <w:lang w:val="id-ID"/>
        </w:rPr>
        <w:t xml:space="preserve">decreasing </w:t>
      </w:r>
      <w:r w:rsidR="00597866">
        <w:rPr>
          <w:rFonts w:ascii="Times New Roman" w:eastAsia="Times New Roman" w:hAnsi="Times New Roman" w:cs="Times New Roman"/>
        </w:rPr>
        <w:t>percentage which was</w:t>
      </w:r>
      <w:r w:rsidRPr="00F7642A">
        <w:rPr>
          <w:rFonts w:ascii="Times New Roman" w:eastAsia="Times New Roman" w:hAnsi="Times New Roman" w:cs="Times New Roman"/>
        </w:rPr>
        <w:t xml:space="preserve"> 80.20% to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8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the </w:t>
      </w:r>
      <w:r w:rsidRPr="00F7642A">
        <w:rPr>
          <w:rFonts w:ascii="Times New Roman" w:eastAsia="Times New Roman" w:hAnsi="Times New Roman" w:cs="Times New Roman"/>
        </w:rPr>
        <w:t>blood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glucose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level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</w:rPr>
        <w:t>of white rat</w:t>
      </w:r>
      <w:r w:rsidR="00CA5319">
        <w:rPr>
          <w:rFonts w:ascii="Times New Roman" w:eastAsia="Times New Roman" w:hAnsi="Times New Roman" w:cs="Times New Roman"/>
          <w:lang w:val="id-ID"/>
        </w:rPr>
        <w:t>s</w:t>
      </w:r>
      <w:r w:rsidR="00597866">
        <w:rPr>
          <w:rFonts w:ascii="Times New Roman" w:eastAsia="Times New Roman" w:hAnsi="Times New Roman" w:cs="Times New Roman"/>
          <w:lang w:val="id-ID"/>
        </w:rPr>
        <w:t>.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FC9ED8" w14:textId="77777777" w:rsidR="00F7642A" w:rsidRPr="00F7642A" w:rsidRDefault="00F7642A" w:rsidP="00F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</w:rPr>
        <w:t> </w:t>
      </w:r>
    </w:p>
    <w:p w14:paraId="4966BDB4" w14:textId="77777777" w:rsidR="00F7642A" w:rsidRPr="00F7642A" w:rsidRDefault="00F7642A" w:rsidP="00CA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b/>
          <w:bCs/>
        </w:rPr>
        <w:t>Keywords</w:t>
      </w:r>
      <w:r w:rsidRPr="00F7642A">
        <w:rPr>
          <w:rFonts w:ascii="Times New Roman" w:eastAsia="Times New Roman" w:hAnsi="Times New Roman" w:cs="Times New Roman"/>
        </w:rPr>
        <w:t>: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319">
        <w:rPr>
          <w:rFonts w:ascii="Times New Roman" w:eastAsia="Times New Roman" w:hAnsi="Times New Roman" w:cs="Times New Roman"/>
        </w:rPr>
        <w:t>Filtrate, catfish, biscuit</w:t>
      </w:r>
      <w:r w:rsidRPr="00F7642A">
        <w:rPr>
          <w:rFonts w:ascii="Times New Roman" w:eastAsia="Times New Roman" w:hAnsi="Times New Roman" w:cs="Times New Roman"/>
        </w:rPr>
        <w:t>, glucose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887856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F7D3BD4" w14:textId="77777777" w:rsidR="00F7642A" w:rsidRPr="00F7642A" w:rsidRDefault="00F7642A" w:rsidP="00F7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inherit" w:eastAsia="Times New Roman" w:hAnsi="inherit" w:cs="Times New Roman"/>
          <w:color w:val="212121"/>
          <w:sz w:val="20"/>
          <w:szCs w:val="20"/>
        </w:rPr>
        <w:t> </w:t>
      </w:r>
    </w:p>
    <w:p w14:paraId="626D23E2" w14:textId="77777777" w:rsidR="00F7642A" w:rsidRPr="00F7642A" w:rsidRDefault="00CA5319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F7642A"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067636" w14:textId="77777777" w:rsidR="00F7642A" w:rsidRPr="00F40B0D" w:rsidRDefault="00F7642A" w:rsidP="00F7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</w:rPr>
        <w:t xml:space="preserve">             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Glucose </w:t>
      </w:r>
      <w:r w:rsidR="00695789" w:rsidRPr="00F40B0D">
        <w:rPr>
          <w:rFonts w:ascii="Times New Roman" w:eastAsia="Times New Roman" w:hAnsi="Times New Roman" w:cs="Times New Roman"/>
          <w:sz w:val="24"/>
          <w:szCs w:val="24"/>
        </w:rPr>
        <w:t>is important carbohydrate</w:t>
      </w:r>
      <w:r w:rsidR="00695789" w:rsidRPr="00F40B0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which is</w:t>
      </w:r>
      <w:r w:rsidR="00695789" w:rsidRPr="00F40B0D">
        <w:rPr>
          <w:rFonts w:ascii="Times New Roman" w:eastAsia="Times New Roman" w:hAnsi="Times New Roman" w:cs="Times New Roman"/>
          <w:sz w:val="24"/>
          <w:szCs w:val="24"/>
        </w:rPr>
        <w:t xml:space="preserve"> more absorbed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into the bloodst</w:t>
      </w:r>
      <w:r w:rsidR="00695789" w:rsidRPr="00F40B0D">
        <w:rPr>
          <w:rFonts w:ascii="Times New Roman" w:eastAsia="Times New Roman" w:hAnsi="Times New Roman" w:cs="Times New Roman"/>
          <w:sz w:val="24"/>
          <w:szCs w:val="24"/>
        </w:rPr>
        <w:t>ream as glucose and other sugar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789" w:rsidRPr="00F40B0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changed </w:t>
      </w:r>
      <w:r w:rsidR="00695789" w:rsidRPr="00F40B0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to glucose in the liver. Glucose is also the main fue</w:t>
      </w:r>
      <w:r w:rsidR="00695789" w:rsidRPr="00F40B0D">
        <w:rPr>
          <w:rFonts w:ascii="Times New Roman" w:eastAsia="Times New Roman" w:hAnsi="Times New Roman" w:cs="Times New Roman"/>
          <w:sz w:val="24"/>
          <w:szCs w:val="24"/>
        </w:rPr>
        <w:t>l in the body tissues and has function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to generate energy. </w:t>
      </w:r>
      <w:r w:rsidR="00695789" w:rsidRPr="00F40B0D">
        <w:rPr>
          <w:rFonts w:ascii="Times New Roman" w:eastAsia="Times New Roman" w:hAnsi="Times New Roman" w:cs="Times New Roman"/>
          <w:sz w:val="24"/>
          <w:szCs w:val="24"/>
        </w:rPr>
        <w:t>Blood glucose level is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closely related to diabetes mellitus (Amir, 2015). Diabetes mellitus is a disease that </w:t>
      </w:r>
      <w:r w:rsidR="00695789" w:rsidRPr="00F40B0D">
        <w:rPr>
          <w:rFonts w:ascii="Times New Roman" w:eastAsia="Times New Roman" w:hAnsi="Times New Roman" w:cs="Times New Roman"/>
          <w:sz w:val="24"/>
          <w:szCs w:val="24"/>
        </w:rPr>
        <w:t>arises in a person which is indicated by the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presence of blood glucose levels exceeding </w:t>
      </w:r>
      <w:r w:rsidR="003E4777" w:rsidRPr="00F40B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normal </w:t>
      </w:r>
      <w:r w:rsidR="003E4777" w:rsidRPr="00F40B0D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(hyperglycemia) due to </w:t>
      </w:r>
      <w:r w:rsidR="003E4777" w:rsidRPr="00F40B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deficiency of the insulin</w:t>
      </w:r>
      <w:r w:rsidR="003E4777" w:rsidRPr="00F40B0D">
        <w:rPr>
          <w:rFonts w:ascii="Times New Roman" w:eastAsia="Times New Roman" w:hAnsi="Times New Roman" w:cs="Times New Roman"/>
          <w:sz w:val="24"/>
          <w:szCs w:val="24"/>
        </w:rPr>
        <w:t xml:space="preserve"> hormone in the body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4777" w:rsidRPr="00F40B0D">
        <w:rPr>
          <w:rFonts w:ascii="Times New Roman" w:eastAsia="Times New Roman" w:hAnsi="Times New Roman" w:cs="Times New Roman"/>
          <w:sz w:val="24"/>
          <w:szCs w:val="24"/>
        </w:rPr>
        <w:t>If the disease is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uncontrolled or the patient is unaware of the disease</w:t>
      </w:r>
      <w:r w:rsidR="003E4777" w:rsidRPr="00F40B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there will be various </w:t>
      </w:r>
      <w:r w:rsidR="003E4777" w:rsidRPr="00F40B0D">
        <w:rPr>
          <w:rFonts w:ascii="Times New Roman" w:eastAsia="Times New Roman" w:hAnsi="Times New Roman" w:cs="Times New Roman"/>
          <w:sz w:val="24"/>
          <w:szCs w:val="24"/>
        </w:rPr>
        <w:t xml:space="preserve">fatal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chro</w:t>
      </w:r>
      <w:r w:rsidR="003E4777" w:rsidRPr="00F40B0D">
        <w:rPr>
          <w:rFonts w:ascii="Times New Roman" w:eastAsia="Times New Roman" w:hAnsi="Times New Roman" w:cs="Times New Roman"/>
          <w:sz w:val="24"/>
          <w:szCs w:val="24"/>
        </w:rPr>
        <w:t>nic complications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Liahaq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 </w:t>
      </w:r>
      <w:proofErr w:type="gramStart"/>
      <w:r w:rsidRPr="00F40B0D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2015). Increasing the prevalence of diabetes mellitus in Indones</w:t>
      </w:r>
      <w:r w:rsidR="00C53477" w:rsidRPr="00F40B0D">
        <w:rPr>
          <w:rFonts w:ascii="Times New Roman" w:eastAsia="Times New Roman" w:hAnsi="Times New Roman" w:cs="Times New Roman"/>
          <w:sz w:val="24"/>
          <w:szCs w:val="24"/>
        </w:rPr>
        <w:t xml:space="preserve">ia can cause negative impact which is the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decreasing </w:t>
      </w:r>
      <w:r w:rsidR="00C53477" w:rsidRPr="00F40B0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human resources (HR) due to</w:t>
      </w:r>
      <w:r w:rsidR="00C53477" w:rsidRPr="00F40B0D">
        <w:rPr>
          <w:rFonts w:ascii="Times New Roman" w:eastAsia="Times New Roman" w:hAnsi="Times New Roman" w:cs="Times New Roman"/>
          <w:sz w:val="24"/>
          <w:szCs w:val="24"/>
        </w:rPr>
        <w:t xml:space="preserve"> this chronic disease and also in the case of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medication</w:t>
      </w:r>
      <w:r w:rsidR="00C53477" w:rsidRPr="00F40B0D">
        <w:rPr>
          <w:rFonts w:ascii="Times New Roman" w:eastAsia="Times New Roman" w:hAnsi="Times New Roman" w:cs="Times New Roman"/>
          <w:sz w:val="24"/>
          <w:szCs w:val="24"/>
        </w:rPr>
        <w:t>, it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53477" w:rsidRPr="00F40B0D">
        <w:rPr>
          <w:rFonts w:ascii="Times New Roman" w:eastAsia="Times New Roman" w:hAnsi="Times New Roman" w:cs="Times New Roman"/>
          <w:sz w:val="24"/>
          <w:szCs w:val="24"/>
        </w:rPr>
        <w:t>s not cheap because the patient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must consume drugs in a long time (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Kurniawati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0D">
        <w:rPr>
          <w:rFonts w:ascii="Times New Roman" w:eastAsia="Times New Roman" w:hAnsi="Times New Roman" w:cs="Times New Roman"/>
          <w:i/>
          <w:iCs/>
          <w:sz w:val="24"/>
          <w:szCs w:val="24"/>
        </w:rPr>
        <w:t>et al.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, 2012). </w:t>
      </w:r>
    </w:p>
    <w:p w14:paraId="62F1B8AD" w14:textId="77777777" w:rsidR="00F7642A" w:rsidRPr="00F40B0D" w:rsidRDefault="00F7642A" w:rsidP="00F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              One s</w:t>
      </w:r>
      <w:r w:rsidR="00663A29" w:rsidRPr="00F40B0D">
        <w:rPr>
          <w:rFonts w:ascii="Times New Roman" w:eastAsia="Times New Roman" w:hAnsi="Times New Roman" w:cs="Times New Roman"/>
          <w:sz w:val="24"/>
          <w:szCs w:val="24"/>
        </w:rPr>
        <w:t>ymptom that is often found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663A29" w:rsidRPr="00F40B0D">
        <w:rPr>
          <w:rFonts w:ascii="Times New Roman" w:eastAsia="Times New Roman" w:hAnsi="Times New Roman" w:cs="Times New Roman"/>
          <w:sz w:val="24"/>
          <w:szCs w:val="24"/>
        </w:rPr>
        <w:t>diabetes mellitus patient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polifagia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663A29" w:rsidRPr="00F40B0D">
        <w:rPr>
          <w:rFonts w:ascii="Times New Roman" w:eastAsia="Times New Roman" w:hAnsi="Times New Roman" w:cs="Times New Roman"/>
          <w:sz w:val="24"/>
          <w:szCs w:val="24"/>
        </w:rPr>
        <w:t>is a condition of having an appetite which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increases but </w:t>
      </w:r>
      <w:r w:rsidR="00663A29" w:rsidRPr="00F40B0D">
        <w:rPr>
          <w:rFonts w:ascii="Times New Roman" w:eastAsia="Times New Roman" w:hAnsi="Times New Roman" w:cs="Times New Roman"/>
          <w:sz w:val="24"/>
          <w:szCs w:val="24"/>
        </w:rPr>
        <w:t>the patient losses his/her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weight (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Azrimaidaliza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>, 2011). The</w:t>
      </w:r>
      <w:r w:rsidR="00663A29" w:rsidRPr="00F40B0D">
        <w:rPr>
          <w:rFonts w:ascii="Times New Roman" w:eastAsia="Times New Roman" w:hAnsi="Times New Roman" w:cs="Times New Roman"/>
          <w:sz w:val="24"/>
          <w:szCs w:val="24"/>
        </w:rPr>
        <w:t xml:space="preserve"> existence of this appetite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affects people with diabetes mellitus to consume food </w:t>
      </w:r>
      <w:r w:rsidR="00663A29" w:rsidRPr="00F40B0D">
        <w:rPr>
          <w:rFonts w:ascii="Times New Roman" w:eastAsia="Times New Roman" w:hAnsi="Times New Roman" w:cs="Times New Roman"/>
          <w:sz w:val="24"/>
          <w:szCs w:val="24"/>
        </w:rPr>
        <w:t>besides the staple food in this case is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by consuming </w:t>
      </w:r>
      <w:r w:rsidR="00663A29" w:rsidRPr="00F40B0D">
        <w:rPr>
          <w:rFonts w:ascii="Times New Roman" w:eastAsia="Times New Roman" w:hAnsi="Times New Roman" w:cs="Times New Roman"/>
          <w:sz w:val="24"/>
          <w:szCs w:val="24"/>
        </w:rPr>
        <w:t>biscuit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3A29" w:rsidRPr="00F40B0D">
        <w:rPr>
          <w:rFonts w:ascii="Times New Roman" w:eastAsia="Times New Roman" w:hAnsi="Times New Roman" w:cs="Times New Roman"/>
          <w:sz w:val="24"/>
          <w:szCs w:val="24"/>
        </w:rPr>
        <w:t>Biscuit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A29" w:rsidRPr="00F40B0D">
        <w:rPr>
          <w:rFonts w:ascii="Times New Roman" w:eastAsia="Times New Roman" w:hAnsi="Times New Roman" w:cs="Times New Roman"/>
          <w:sz w:val="24"/>
          <w:szCs w:val="24"/>
        </w:rPr>
        <w:t>that is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circulating in the public </w:t>
      </w:r>
      <w:r w:rsidR="00D53342" w:rsidRPr="00F40B0D">
        <w:rPr>
          <w:rFonts w:ascii="Times New Roman" w:eastAsia="Times New Roman" w:hAnsi="Times New Roman" w:cs="Times New Roman"/>
          <w:sz w:val="24"/>
          <w:szCs w:val="24"/>
        </w:rPr>
        <w:t>is not given by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vegetable or animal foods and nutr</w:t>
      </w:r>
      <w:r w:rsidR="00D53342" w:rsidRPr="00F40B0D">
        <w:rPr>
          <w:rFonts w:ascii="Times New Roman" w:eastAsia="Times New Roman" w:hAnsi="Times New Roman" w:cs="Times New Roman"/>
          <w:sz w:val="24"/>
          <w:szCs w:val="24"/>
        </w:rPr>
        <w:t>itional content that is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beneficial to health. </w:t>
      </w:r>
      <w:r w:rsidR="00D53342" w:rsidRPr="00F40B0D">
        <w:rPr>
          <w:rFonts w:ascii="Times New Roman" w:eastAsia="Times New Roman" w:hAnsi="Times New Roman" w:cs="Times New Roman"/>
          <w:sz w:val="24"/>
          <w:szCs w:val="24"/>
        </w:rPr>
        <w:t>Moreover, dietary factor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become</w:t>
      </w:r>
      <w:r w:rsidR="00D53342" w:rsidRPr="00F40B0D">
        <w:rPr>
          <w:rFonts w:ascii="Times New Roman" w:eastAsia="Times New Roman" w:hAnsi="Times New Roman" w:cs="Times New Roman"/>
          <w:sz w:val="24"/>
          <w:szCs w:val="24"/>
        </w:rPr>
        <w:t>s the main key of diabetes mellitus prevention and treatment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. One al</w:t>
      </w:r>
      <w:r w:rsidR="00D53342" w:rsidRPr="00F40B0D">
        <w:rPr>
          <w:rFonts w:ascii="Times New Roman" w:eastAsia="Times New Roman" w:hAnsi="Times New Roman" w:cs="Times New Roman"/>
          <w:sz w:val="24"/>
          <w:szCs w:val="24"/>
        </w:rPr>
        <w:t>ternative that can be used is by consuming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functional foods that are proven to help keep</w:t>
      </w:r>
      <w:r w:rsidR="00D53342" w:rsidRPr="00F40B0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342" w:rsidRPr="00F40B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blood </w:t>
      </w:r>
      <w:r w:rsidR="00D53342" w:rsidRPr="00F40B0D">
        <w:rPr>
          <w:rFonts w:ascii="Times New Roman" w:eastAsia="Times New Roman" w:hAnsi="Times New Roman" w:cs="Times New Roman"/>
          <w:sz w:val="24"/>
          <w:szCs w:val="24"/>
        </w:rPr>
        <w:t>glucose level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in the norm</w:t>
      </w:r>
      <w:r w:rsidR="00D53342" w:rsidRPr="00F40B0D">
        <w:rPr>
          <w:rFonts w:ascii="Times New Roman" w:eastAsia="Times New Roman" w:hAnsi="Times New Roman" w:cs="Times New Roman"/>
          <w:sz w:val="24"/>
          <w:szCs w:val="24"/>
        </w:rPr>
        <w:t>al level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Bintari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Nugraheni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>, 2012).</w:t>
      </w:r>
    </w:p>
    <w:p w14:paraId="6E46B47D" w14:textId="77777777" w:rsidR="00F7642A" w:rsidRPr="00F40B0D" w:rsidRDefault="00F7642A" w:rsidP="00F7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 Based on that </w:t>
      </w:r>
      <w:r w:rsidR="00470440" w:rsidRPr="00F40B0D">
        <w:rPr>
          <w:rFonts w:ascii="Times New Roman" w:eastAsia="Times New Roman" w:hAnsi="Times New Roman" w:cs="Times New Roman"/>
          <w:sz w:val="24"/>
          <w:szCs w:val="24"/>
        </w:rPr>
        <w:t>explanation, it is necessary to find out the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antidiabetic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biscuits that have relatively low side effects, cheap prices, easy to obtain, and derived from animal extracts and one of them derived from catfish extract. Catfish contain various components </w:t>
      </w:r>
      <w:r w:rsidR="00470440" w:rsidRPr="00F40B0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are very benefici</w:t>
      </w:r>
      <w:r w:rsidR="00470440" w:rsidRPr="00F40B0D">
        <w:rPr>
          <w:rFonts w:ascii="Times New Roman" w:eastAsia="Times New Roman" w:hAnsi="Times New Roman" w:cs="Times New Roman"/>
          <w:sz w:val="24"/>
          <w:szCs w:val="24"/>
        </w:rPr>
        <w:t>al for the health of the body which are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minerals, vitamins a</w:t>
      </w:r>
      <w:r w:rsidR="00470440" w:rsidRPr="00F40B0D">
        <w:rPr>
          <w:rFonts w:ascii="Times New Roman" w:eastAsia="Times New Roman" w:hAnsi="Times New Roman" w:cs="Times New Roman"/>
          <w:sz w:val="24"/>
          <w:szCs w:val="24"/>
        </w:rPr>
        <w:t>nd omega 3 fatty acids that are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very beneficial to human health. </w:t>
      </w:r>
      <w:r w:rsidR="00F40B0D">
        <w:rPr>
          <w:rFonts w:ascii="Times New Roman" w:eastAsia="Times New Roman" w:hAnsi="Times New Roman" w:cs="Times New Roman"/>
          <w:sz w:val="24"/>
          <w:szCs w:val="24"/>
        </w:rPr>
        <w:t>The c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atfish have a high fat content and are a very good source of unsaturated fatty acids, including omega 3 fatty acids that have a positive function for human health. This research was previously published in RJPBCS with the use of catfish extract in the form of oil.</w:t>
      </w:r>
    </w:p>
    <w:p w14:paraId="298711FA" w14:textId="77777777" w:rsidR="00F40B0D" w:rsidRDefault="00F7642A" w:rsidP="00F7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              This study aims to determine the effect of catfis</w:t>
      </w:r>
      <w:r w:rsidR="00CB4528" w:rsidRPr="00F40B0D">
        <w:rPr>
          <w:rFonts w:ascii="Times New Roman" w:eastAsia="Times New Roman" w:hAnsi="Times New Roman" w:cs="Times New Roman"/>
          <w:sz w:val="24"/>
          <w:szCs w:val="24"/>
        </w:rPr>
        <w:t>h biscuit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on blood </w:t>
      </w:r>
      <w:r w:rsidR="00CB4528" w:rsidRPr="00F40B0D">
        <w:rPr>
          <w:rFonts w:ascii="Times New Roman" w:eastAsia="Times New Roman" w:hAnsi="Times New Roman" w:cs="Times New Roman"/>
          <w:sz w:val="24"/>
          <w:szCs w:val="24"/>
        </w:rPr>
        <w:t>glucose level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of white rats and determine</w:t>
      </w:r>
      <w:r w:rsidR="00CB4528" w:rsidRPr="00F40B0D">
        <w:rPr>
          <w:rFonts w:ascii="Times New Roman" w:eastAsia="Times New Roman" w:hAnsi="Times New Roman" w:cs="Times New Roman"/>
          <w:sz w:val="24"/>
          <w:szCs w:val="24"/>
        </w:rPr>
        <w:t xml:space="preserve"> the formula of catfish biscuit that is effective toward blood glucose level.</w:t>
      </w:r>
    </w:p>
    <w:p w14:paraId="3DC97352" w14:textId="77777777" w:rsidR="00F7642A" w:rsidRPr="00F40B0D" w:rsidRDefault="00F7642A" w:rsidP="00F7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59DFE9" w14:textId="77777777" w:rsidR="00F7642A" w:rsidRPr="00F40B0D" w:rsidRDefault="00F7642A" w:rsidP="00F7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MATERIALS AND METHODS</w:t>
      </w:r>
    </w:p>
    <w:p w14:paraId="36EFE6A8" w14:textId="77777777" w:rsidR="00F7642A" w:rsidRPr="00F40B0D" w:rsidRDefault="00F7642A" w:rsidP="00F7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MATERIALS AND TOOLS </w:t>
      </w:r>
    </w:p>
    <w:p w14:paraId="2C707BFF" w14:textId="77777777" w:rsidR="00F7642A" w:rsidRPr="00F40B0D" w:rsidRDefault="00CB4528" w:rsidP="00CB45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Materials used in this study were catfish, </w:t>
      </w:r>
      <w:proofErr w:type="spellStart"/>
      <w:r w:rsidR="00F40B0D">
        <w:rPr>
          <w:rFonts w:ascii="Times New Roman" w:eastAsia="Times New Roman" w:hAnsi="Times New Roman" w:cs="Times New Roman"/>
          <w:sz w:val="24"/>
          <w:szCs w:val="24"/>
        </w:rPr>
        <w:t>akuades</w:t>
      </w:r>
      <w:proofErr w:type="spellEnd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, Na-CMC 0.5%, </w:t>
      </w:r>
      <w:proofErr w:type="spellStart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glibenclamide</w:t>
      </w:r>
      <w:proofErr w:type="spellEnd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, wheat flour, eggs, margarine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and animal test that was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used as the object of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this research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which was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white rat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as many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as 24 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Wistar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strains with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150-200 grams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weight and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5-6 months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old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51AB9E" w14:textId="77777777" w:rsidR="00F7642A" w:rsidRPr="00F40B0D" w:rsidRDefault="00F7642A" w:rsidP="00F764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The tool</w:t>
      </w:r>
      <w:r w:rsidR="00CB4528" w:rsidRPr="00F40B0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used in </w:t>
      </w:r>
      <w:r w:rsidR="00CB4528" w:rsidRPr="00F40B0D">
        <w:rPr>
          <w:rFonts w:ascii="Times New Roman" w:eastAsia="Times New Roman" w:hAnsi="Times New Roman" w:cs="Times New Roman"/>
          <w:sz w:val="24"/>
          <w:szCs w:val="24"/>
        </w:rPr>
        <w:t>this research were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cage, drink bottle, </w:t>
      </w:r>
      <w:r w:rsidR="008B7E27" w:rsidRPr="00F40B0D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, large tray, stirrer, printer, oven and </w:t>
      </w:r>
      <w:r w:rsidRPr="00F40B0D">
        <w:rPr>
          <w:rFonts w:ascii="Times New Roman" w:eastAsia="Times New Roman" w:hAnsi="Times New Roman" w:cs="Times New Roman"/>
          <w:i/>
          <w:iCs/>
          <w:sz w:val="24"/>
          <w:szCs w:val="24"/>
        </w:rPr>
        <w:t>Blood Glucose Test Meter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1BF44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8"/>
          <w:szCs w:val="28"/>
        </w:rPr>
        <w:t>METHOD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8358B7" w14:textId="77777777" w:rsidR="00F7642A" w:rsidRPr="00F40B0D" w:rsidRDefault="00FD7BF9" w:rsidP="00FD7BF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Catfish Filtrate Making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EF2320" w14:textId="77777777" w:rsidR="00F7642A" w:rsidRPr="00F40B0D" w:rsidRDefault="00F7642A" w:rsidP="00F76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40B0D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D7BF9" w:rsidRPr="00F40B0D">
        <w:rPr>
          <w:rFonts w:ascii="Times New Roman" w:eastAsia="Times New Roman" w:hAnsi="Times New Roman" w:cs="Times New Roman"/>
          <w:sz w:val="24"/>
          <w:szCs w:val="24"/>
        </w:rPr>
        <w:t>The method used wa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s steam</w:t>
      </w:r>
      <w:r w:rsidR="00FD7BF9" w:rsidRPr="00F40B0D">
        <w:rPr>
          <w:rFonts w:ascii="Times New Roman" w:eastAsia="Times New Roman" w:hAnsi="Times New Roman" w:cs="Times New Roman"/>
          <w:sz w:val="24"/>
          <w:szCs w:val="24"/>
        </w:rPr>
        <w:t xml:space="preserve"> for 90 minutes with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± 10 mL</w:t>
      </w:r>
      <w:r w:rsidR="00FD7BF9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0B0D" w:rsidRPr="00F40B0D">
        <w:rPr>
          <w:rFonts w:ascii="Times New Roman" w:eastAsia="Times New Roman" w:hAnsi="Times New Roman" w:cs="Times New Roman"/>
          <w:sz w:val="24"/>
          <w:szCs w:val="24"/>
        </w:rPr>
        <w:t>akuades</w:t>
      </w:r>
      <w:proofErr w:type="spellEnd"/>
      <w:r w:rsidR="00FD7BF9" w:rsidRPr="00F40B0D">
        <w:rPr>
          <w:rFonts w:ascii="Times New Roman" w:eastAsia="Times New Roman" w:hAnsi="Times New Roman" w:cs="Times New Roman"/>
          <w:sz w:val="24"/>
          <w:szCs w:val="24"/>
        </w:rPr>
        <w:t xml:space="preserve"> addition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233069" w14:textId="77777777" w:rsidR="00F7642A" w:rsidRPr="00F40B0D" w:rsidRDefault="00FD7BF9" w:rsidP="00FD7BF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Catfish Biscuit Making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04DEF2" w14:textId="77777777" w:rsidR="00F7642A" w:rsidRPr="00F40B0D" w:rsidRDefault="00F7642A" w:rsidP="00F7642A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7BF9" w:rsidRPr="00F40B0D">
        <w:rPr>
          <w:rFonts w:ascii="Times New Roman" w:eastAsia="Times New Roman" w:hAnsi="Times New Roman" w:cs="Times New Roman"/>
          <w:sz w:val="24"/>
          <w:szCs w:val="24"/>
        </w:rPr>
        <w:t>iscuit was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roasted in an oven at 160</w:t>
      </w:r>
      <w:r w:rsidRPr="00F40B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°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C for 30 minutes. </w:t>
      </w:r>
    </w:p>
    <w:p w14:paraId="11E9C99A" w14:textId="77777777" w:rsidR="00F7642A" w:rsidRPr="00F40B0D" w:rsidRDefault="00FD7BF9" w:rsidP="00FD7BF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Test Animal Maintenance and Treatment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7CAC6" w14:textId="77777777" w:rsidR="00F7642A" w:rsidRDefault="00FD7BF9" w:rsidP="00F40B0D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first in acclimatization for 1 week.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Acclimatization wa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s intended 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>to allow the test animal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to adapt to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 xml:space="preserve"> the conditions of the test place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. Rats were fed, drank, and 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 xml:space="preserve">put in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>he same cage with the aim to not affect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the results and the rats wer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>e able to adapt to the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conditions 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 xml:space="preserve">of test place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(laboratory). 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>The cage wa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s equip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>ped with a drinking bottle and wa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s covered with chaff evenly and cleaned at least 2 times a week. 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>The cage wa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s placed in a ventilated room to regulate </w:t>
      </w:r>
      <w:r w:rsidR="00BF1F80" w:rsidRPr="00F40B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air circulation and radiation system so that light and dark conditions respectively </w:t>
      </w:r>
      <w:r w:rsidR="008E3E33" w:rsidRPr="00F40B0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over 12 hours.</w:t>
      </w:r>
    </w:p>
    <w:p w14:paraId="675ADFC0" w14:textId="77777777" w:rsidR="00F40B0D" w:rsidRDefault="00F40B0D" w:rsidP="00FD7BF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6B014" w14:textId="77777777" w:rsidR="00F40B0D" w:rsidRPr="00F40B0D" w:rsidRDefault="00F40B0D" w:rsidP="00FD7BF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DB540" w14:textId="77777777" w:rsidR="00F7642A" w:rsidRPr="00F40B0D" w:rsidRDefault="008E3E33" w:rsidP="008E3E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0.5%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Na-CMC Solution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Making</w:t>
      </w:r>
    </w:p>
    <w:p w14:paraId="427F24C1" w14:textId="77777777" w:rsidR="00F7642A" w:rsidRPr="00F40B0D" w:rsidRDefault="00F7642A" w:rsidP="00F7642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3E33" w:rsidRPr="00F40B0D">
        <w:rPr>
          <w:rFonts w:ascii="Times New Roman" w:eastAsia="Times New Roman" w:hAnsi="Times New Roman" w:cs="Times New Roman"/>
          <w:sz w:val="24"/>
          <w:szCs w:val="24"/>
        </w:rPr>
        <w:t>.5g Na-CMC wa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s weighed and fed into an 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erlenmeyer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containing </w:t>
      </w:r>
      <w:r w:rsidR="008E3E33" w:rsidRPr="00F40B0D">
        <w:rPr>
          <w:rFonts w:ascii="Times New Roman" w:eastAsia="Times New Roman" w:hAnsi="Times New Roman" w:cs="Times New Roman"/>
          <w:sz w:val="24"/>
          <w:szCs w:val="24"/>
        </w:rPr>
        <w:t>of ± 10 mL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0B0D" w:rsidRPr="00F40B0D">
        <w:rPr>
          <w:rFonts w:ascii="Times New Roman" w:eastAsia="Times New Roman" w:hAnsi="Times New Roman" w:cs="Times New Roman"/>
          <w:sz w:val="24"/>
          <w:szCs w:val="24"/>
        </w:rPr>
        <w:t>akuades</w:t>
      </w:r>
      <w:proofErr w:type="spellEnd"/>
      <w:r w:rsidR="008E3E33" w:rsidRPr="00F40B0D">
        <w:rPr>
          <w:rFonts w:ascii="Times New Roman" w:eastAsia="Times New Roman" w:hAnsi="Times New Roman" w:cs="Times New Roman"/>
          <w:sz w:val="24"/>
          <w:szCs w:val="24"/>
        </w:rPr>
        <w:t xml:space="preserve"> that had been heated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3E33" w:rsidRPr="00F40B0D">
        <w:rPr>
          <w:rFonts w:ascii="Times New Roman" w:eastAsia="Times New Roman" w:hAnsi="Times New Roman" w:cs="Times New Roman"/>
          <w:sz w:val="24"/>
          <w:szCs w:val="24"/>
        </w:rPr>
        <w:t>It was set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asi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>de for 15 minutes until it</w:t>
      </w:r>
      <w:r w:rsidR="008E3E33" w:rsidRPr="00F40B0D">
        <w:rPr>
          <w:rFonts w:ascii="Times New Roman" w:eastAsia="Times New Roman" w:hAnsi="Times New Roman" w:cs="Times New Roman"/>
          <w:sz w:val="24"/>
          <w:szCs w:val="24"/>
        </w:rPr>
        <w:t xml:space="preserve"> wa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s obtained 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>a transparent mass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 xml:space="preserve">it was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mixed until homogeneous. 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 xml:space="preserve">After that,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Na-CMC solution 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transferred to a 100 mL measuring flask and 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sufficient the volume with 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F40B0D" w:rsidRPr="00F40B0D">
        <w:rPr>
          <w:rFonts w:ascii="Times New Roman" w:eastAsia="Times New Roman" w:hAnsi="Times New Roman" w:cs="Times New Roman"/>
          <w:sz w:val="24"/>
          <w:szCs w:val="24"/>
        </w:rPr>
        <w:t>akuades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tera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mark (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Darmawi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, 2015). 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rovision of 0.5% 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>Na-CMC solution was done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orally with </w:t>
      </w:r>
      <w:r w:rsidR="00AE7E39" w:rsidRPr="00F40B0D">
        <w:rPr>
          <w:rFonts w:ascii="Times New Roman" w:eastAsia="Times New Roman" w:hAnsi="Times New Roman" w:cs="Times New Roman"/>
          <w:sz w:val="24"/>
          <w:szCs w:val="24"/>
        </w:rPr>
        <w:t>a given dosage of 0.5 mg / kg BB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of rat (Annex 1). </w:t>
      </w:r>
    </w:p>
    <w:p w14:paraId="22B1C50D" w14:textId="77777777" w:rsidR="00F7642A" w:rsidRPr="00F40B0D" w:rsidRDefault="00F7642A" w:rsidP="002242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Glibenclamide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Solution </w:t>
      </w:r>
      <w:r w:rsidR="00224209" w:rsidRPr="00F40B0D">
        <w:rPr>
          <w:rFonts w:ascii="Times New Roman" w:eastAsia="Times New Roman" w:hAnsi="Times New Roman" w:cs="Times New Roman"/>
          <w:sz w:val="24"/>
          <w:szCs w:val="24"/>
        </w:rPr>
        <w:t>Making</w:t>
      </w:r>
    </w:p>
    <w:p w14:paraId="18E13B66" w14:textId="77777777" w:rsidR="00F7642A" w:rsidRPr="00F40B0D" w:rsidRDefault="00F7642A" w:rsidP="00F7642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The 5 mg</w:t>
      </w:r>
      <w:r w:rsidR="00224209" w:rsidRPr="00F40B0D">
        <w:rPr>
          <w:rFonts w:ascii="Times New Roman" w:eastAsia="Times New Roman" w:hAnsi="Times New Roman" w:cs="Times New Roman"/>
          <w:sz w:val="24"/>
          <w:szCs w:val="24"/>
        </w:rPr>
        <w:t xml:space="preserve"> weighed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glibenclamide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was then finely </w:t>
      </w:r>
      <w:r w:rsidR="00224209" w:rsidRPr="00F40B0D">
        <w:rPr>
          <w:rFonts w:ascii="Times New Roman" w:eastAsia="Times New Roman" w:hAnsi="Times New Roman" w:cs="Times New Roman"/>
          <w:sz w:val="24"/>
          <w:szCs w:val="24"/>
        </w:rPr>
        <w:t>crushed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4209" w:rsidRPr="00F40B0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dissolved in 1% Na-CMC solution in a 25 mL flask. </w:t>
      </w:r>
      <w:r w:rsidR="00224209" w:rsidRPr="00F40B0D">
        <w:rPr>
          <w:rFonts w:ascii="Times New Roman" w:eastAsia="Times New Roman" w:hAnsi="Times New Roman" w:cs="Times New Roman"/>
          <w:sz w:val="24"/>
          <w:szCs w:val="24"/>
        </w:rPr>
        <w:t>The given dose to rats was 0.45 mg/kg BB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of rat (Appendix 1) (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Siwaka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, 2013). </w:t>
      </w:r>
    </w:p>
    <w:p w14:paraId="13B069F6" w14:textId="77777777" w:rsidR="00F7642A" w:rsidRPr="00F40B0D" w:rsidRDefault="00224209" w:rsidP="002242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lastRenderedPageBreak/>
        <w:t>Alloxan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Solution Making and Induction</w:t>
      </w:r>
    </w:p>
    <w:p w14:paraId="71DDB4CB" w14:textId="77777777" w:rsidR="00F7642A" w:rsidRPr="00F40B0D" w:rsidRDefault="00224209" w:rsidP="00F7642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lloxane</w:t>
      </w:r>
      <w:proofErr w:type="spellEnd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solution is the monohydrate </w:t>
      </w:r>
      <w:proofErr w:type="spellStart"/>
      <w:r w:rsidR="00E35D46" w:rsidRPr="00F40B0D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="00E35D46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powder </w:t>
      </w:r>
      <w:r w:rsidR="00E35D46" w:rsidRPr="00F40B0D">
        <w:rPr>
          <w:rFonts w:ascii="Times New Roman" w:eastAsia="Times New Roman" w:hAnsi="Times New Roman" w:cs="Times New Roman"/>
          <w:sz w:val="24"/>
          <w:szCs w:val="24"/>
        </w:rPr>
        <w:t xml:space="preserve">which was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weighed as much as </w:t>
      </w:r>
      <w:r w:rsidR="00E35D46" w:rsidRPr="00F40B0D">
        <w:rPr>
          <w:rFonts w:ascii="Times New Roman" w:eastAsia="Times New Roman" w:hAnsi="Times New Roman" w:cs="Times New Roman"/>
          <w:sz w:val="24"/>
          <w:szCs w:val="24"/>
        </w:rPr>
        <w:t xml:space="preserve">0.5 g then dissolved with </w:t>
      </w:r>
      <w:proofErr w:type="spellStart"/>
      <w:r w:rsidR="00F40B0D" w:rsidRPr="00F40B0D">
        <w:rPr>
          <w:rFonts w:ascii="Times New Roman" w:eastAsia="Times New Roman" w:hAnsi="Times New Roman" w:cs="Times New Roman"/>
          <w:sz w:val="24"/>
          <w:szCs w:val="24"/>
        </w:rPr>
        <w:t>akuades</w:t>
      </w:r>
      <w:proofErr w:type="spellEnd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up to a volume of 10 </w:t>
      </w:r>
      <w:proofErr w:type="spellStart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mL.</w:t>
      </w:r>
      <w:proofErr w:type="spellEnd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D46" w:rsidRPr="00F40B0D">
        <w:rPr>
          <w:rFonts w:ascii="Times New Roman" w:eastAsia="Times New Roman" w:hAnsi="Times New Roman" w:cs="Times New Roman"/>
          <w:sz w:val="24"/>
          <w:szCs w:val="24"/>
        </w:rPr>
        <w:t xml:space="preserve">The dissolved </w:t>
      </w:r>
      <w:proofErr w:type="spellStart"/>
      <w:r w:rsidR="00E35D46" w:rsidRPr="00F40B0D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="00E35D46" w:rsidRPr="00F40B0D">
        <w:rPr>
          <w:rFonts w:ascii="Times New Roman" w:eastAsia="Times New Roman" w:hAnsi="Times New Roman" w:cs="Times New Roman"/>
          <w:sz w:val="24"/>
          <w:szCs w:val="24"/>
        </w:rPr>
        <w:t xml:space="preserve"> wa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s injected immediately before any color change occurs. </w:t>
      </w:r>
      <w:r w:rsidR="00E35D46" w:rsidRPr="00F40B0D">
        <w:rPr>
          <w:rFonts w:ascii="Times New Roman" w:eastAsia="Times New Roman" w:hAnsi="Times New Roman" w:cs="Times New Roman"/>
          <w:sz w:val="24"/>
          <w:szCs w:val="24"/>
        </w:rPr>
        <w:t>The given dose was 150 mg/kg BB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of rat by </w:t>
      </w:r>
      <w:proofErr w:type="spellStart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intraperitoria</w:t>
      </w:r>
      <w:proofErr w:type="spellEnd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injection. </w:t>
      </w:r>
    </w:p>
    <w:p w14:paraId="616DB2F3" w14:textId="77777777" w:rsidR="00F7642A" w:rsidRPr="00F40B0D" w:rsidRDefault="00F35410" w:rsidP="00F3541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Treatment Giving and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Blood Glucose Level Measurement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770100" w14:textId="77777777" w:rsidR="00F7642A" w:rsidRPr="00F40B0D" w:rsidRDefault="00206A09" w:rsidP="00F7642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Tested animal that had been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fasted for 12 hours and measured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its fasting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blood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glucose level then was given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the food treatment (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catfish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biscuit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for about 5 gram per serving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rally and dissolved in cold 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akuades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Nissa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F40B0D">
        <w:rPr>
          <w:rFonts w:ascii="Times New Roman" w:eastAsia="Times New Roman" w:hAnsi="Times New Roman" w:cs="Times New Roman"/>
          <w:sz w:val="24"/>
          <w:szCs w:val="24"/>
        </w:rPr>
        <w:t>Madjid</w:t>
      </w:r>
      <w:proofErr w:type="spellEnd"/>
      <w:r w:rsidRPr="00F40B0D">
        <w:rPr>
          <w:rFonts w:ascii="Times New Roman" w:eastAsia="Times New Roman" w:hAnsi="Times New Roman" w:cs="Times New Roman"/>
          <w:sz w:val="24"/>
          <w:szCs w:val="24"/>
        </w:rPr>
        <w:t>, 2016)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for 15 days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9F4EC9" w:rsidRPr="00F40B0D">
        <w:rPr>
          <w:rFonts w:ascii="Times New Roman" w:eastAsia="Times New Roman" w:hAnsi="Times New Roman" w:cs="Times New Roman"/>
          <w:sz w:val="24"/>
          <w:szCs w:val="24"/>
        </w:rPr>
        <w:t xml:space="preserve"> drink provision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by using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A" w:rsidRPr="00F40B0D">
        <w:rPr>
          <w:rFonts w:ascii="Times New Roman" w:eastAsia="Times New Roman" w:hAnsi="Times New Roman" w:cs="Times New Roman"/>
          <w:i/>
          <w:iCs/>
          <w:sz w:val="24"/>
          <w:szCs w:val="24"/>
        </w:rPr>
        <w:t>ad libitum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way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(unlimited) and balanced with standard feeding. </w:t>
      </w:r>
      <w:r w:rsidR="009F4EC9" w:rsidRPr="00F40B0D">
        <w:rPr>
          <w:rFonts w:ascii="Times New Roman" w:eastAsia="Times New Roman" w:hAnsi="Times New Roman" w:cs="Times New Roman"/>
          <w:sz w:val="24"/>
          <w:szCs w:val="24"/>
        </w:rPr>
        <w:t>The measurem</w:t>
      </w:r>
      <w:r w:rsidR="004531EF" w:rsidRPr="00F40B0D">
        <w:rPr>
          <w:rFonts w:ascii="Times New Roman" w:eastAsia="Times New Roman" w:hAnsi="Times New Roman" w:cs="Times New Roman"/>
          <w:sz w:val="24"/>
          <w:szCs w:val="24"/>
        </w:rPr>
        <w:t>ent was made 6 times on the firs</w:t>
      </w:r>
      <w:r w:rsidR="009F4EC9" w:rsidRPr="00F40B0D">
        <w:rPr>
          <w:rFonts w:ascii="Times New Roman" w:eastAsia="Times New Roman" w:hAnsi="Times New Roman" w:cs="Times New Roman"/>
          <w:sz w:val="24"/>
          <w:szCs w:val="24"/>
        </w:rPr>
        <w:t>t, third, sixth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4EC9" w:rsidRPr="00F40B0D">
        <w:rPr>
          <w:rFonts w:ascii="Times New Roman" w:eastAsia="Times New Roman" w:hAnsi="Times New Roman" w:cs="Times New Roman"/>
          <w:sz w:val="24"/>
          <w:szCs w:val="24"/>
        </w:rPr>
        <w:t xml:space="preserve"> ninth, twelfth</w:t>
      </w:r>
      <w:r w:rsidR="004531EF" w:rsidRPr="00F40B0D">
        <w:rPr>
          <w:rFonts w:ascii="Times New Roman" w:eastAsia="Times New Roman" w:hAnsi="Times New Roman" w:cs="Times New Roman"/>
          <w:sz w:val="24"/>
          <w:szCs w:val="24"/>
        </w:rPr>
        <w:t>, and the last measurement day was in fifteenth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day </w:t>
      </w:r>
      <w:r w:rsidR="004531EF" w:rsidRPr="00F40B0D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treatment (</w:t>
      </w:r>
      <w:proofErr w:type="spellStart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>Fahri</w:t>
      </w:r>
      <w:proofErr w:type="spellEnd"/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A" w:rsidRPr="00F40B0D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., 2005). </w:t>
      </w:r>
      <w:r w:rsidR="003D1807" w:rsidRPr="00F40B0D">
        <w:rPr>
          <w:rFonts w:ascii="Times New Roman" w:eastAsia="Times New Roman" w:hAnsi="Times New Roman" w:cs="Times New Roman"/>
          <w:sz w:val="24"/>
          <w:szCs w:val="24"/>
        </w:rPr>
        <w:t xml:space="preserve">The ways of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blood </w:t>
      </w:r>
      <w:r w:rsidR="004531EF" w:rsidRPr="00F40B0D">
        <w:rPr>
          <w:rFonts w:ascii="Times New Roman" w:eastAsia="Times New Roman" w:hAnsi="Times New Roman" w:cs="Times New Roman"/>
          <w:sz w:val="24"/>
          <w:szCs w:val="24"/>
        </w:rPr>
        <w:t>glucose level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807" w:rsidRPr="00F40B0D">
        <w:rPr>
          <w:rFonts w:ascii="Times New Roman" w:eastAsia="Times New Roman" w:hAnsi="Times New Roman" w:cs="Times New Roman"/>
          <w:sz w:val="24"/>
          <w:szCs w:val="24"/>
        </w:rPr>
        <w:t>measurement we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re as follows: </w:t>
      </w:r>
    </w:p>
    <w:p w14:paraId="186E25FC" w14:textId="77777777" w:rsidR="00F7642A" w:rsidRPr="00F40B0D" w:rsidRDefault="00F7642A" w:rsidP="00F7642A">
      <w:pPr>
        <w:numPr>
          <w:ilvl w:val="0"/>
          <w:numId w:val="8"/>
        </w:numPr>
        <w:spacing w:after="0" w:line="240" w:lineRule="auto"/>
        <w:ind w:left="97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Rats</w:t>
      </w:r>
      <w:r w:rsidR="003D1807" w:rsidRPr="00F40B0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tail </w:t>
      </w:r>
      <w:r w:rsidR="003D1807" w:rsidRPr="00F40B0D">
        <w:rPr>
          <w:rFonts w:ascii="Times New Roman" w:eastAsia="Times New Roman" w:hAnsi="Times New Roman" w:cs="Times New Roman"/>
          <w:sz w:val="24"/>
          <w:szCs w:val="24"/>
        </w:rPr>
        <w:t>was cleaned and injured</w:t>
      </w:r>
    </w:p>
    <w:p w14:paraId="54B3E4E0" w14:textId="77777777" w:rsidR="00F7642A" w:rsidRPr="00F40B0D" w:rsidRDefault="003D1807" w:rsidP="00F7642A">
      <w:pPr>
        <w:numPr>
          <w:ilvl w:val="0"/>
          <w:numId w:val="8"/>
        </w:numPr>
        <w:spacing w:after="0" w:line="240" w:lineRule="auto"/>
        <w:ind w:left="97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Blood wa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s taken using a glucometer strip </w:t>
      </w:r>
    </w:p>
    <w:p w14:paraId="14604549" w14:textId="77777777" w:rsidR="00F7642A" w:rsidRPr="00F40B0D" w:rsidRDefault="003D1807" w:rsidP="00F7642A">
      <w:pPr>
        <w:numPr>
          <w:ilvl w:val="0"/>
          <w:numId w:val="8"/>
        </w:numPr>
        <w:spacing w:after="0" w:line="240" w:lineRule="auto"/>
        <w:ind w:left="97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Blood glucose level result was awaited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for 10 seconds </w:t>
      </w:r>
    </w:p>
    <w:p w14:paraId="4C4EC82D" w14:textId="77777777" w:rsidR="00F7642A" w:rsidRPr="00F40B0D" w:rsidRDefault="00F7642A" w:rsidP="00823AC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Percentage </w:t>
      </w:r>
      <w:r w:rsidR="00544D87" w:rsidRPr="00F40B0D">
        <w:rPr>
          <w:rFonts w:ascii="Times New Roman" w:eastAsia="Times New Roman" w:hAnsi="Times New Roman" w:cs="Times New Roman"/>
          <w:sz w:val="24"/>
          <w:szCs w:val="24"/>
        </w:rPr>
        <w:t>Calculation of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 Blood Glucose Level </w:t>
      </w:r>
      <w:r w:rsidR="00544D87" w:rsidRPr="00F40B0D">
        <w:rPr>
          <w:rFonts w:ascii="Times New Roman" w:eastAsia="Times New Roman" w:hAnsi="Times New Roman" w:cs="Times New Roman"/>
          <w:sz w:val="24"/>
          <w:szCs w:val="24"/>
        </w:rPr>
        <w:t>Changes</w:t>
      </w:r>
    </w:p>
    <w:p w14:paraId="05624B34" w14:textId="77777777" w:rsidR="00F7642A" w:rsidRPr="00F40B0D" w:rsidRDefault="005B6259" w:rsidP="002632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percentage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 xml:space="preserve">calculation of the 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blood glucose level </w:t>
      </w:r>
      <w:r w:rsidRPr="00F40B0D">
        <w:rPr>
          <w:rFonts w:ascii="Times New Roman" w:eastAsia="Times New Roman" w:hAnsi="Times New Roman" w:cs="Times New Roman"/>
          <w:sz w:val="24"/>
          <w:szCs w:val="24"/>
        </w:rPr>
        <w:t>decreasing was measured by</w:t>
      </w:r>
      <w:r w:rsidR="00F7642A" w:rsidRPr="00F40B0D">
        <w:rPr>
          <w:rFonts w:ascii="Times New Roman" w:eastAsia="Times New Roman" w:hAnsi="Times New Roman" w:cs="Times New Roman"/>
          <w:sz w:val="24"/>
          <w:szCs w:val="24"/>
        </w:rPr>
        <w:t xml:space="preserve"> the following formula:</w:t>
      </w:r>
    </w:p>
    <w:p w14:paraId="26EBD01A" w14:textId="77777777" w:rsidR="00F7642A" w:rsidRPr="00F7642A" w:rsidRDefault="005B6259" w:rsidP="00F7642A">
      <w:pPr>
        <w:spacing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0B0D">
        <w:rPr>
          <w:rFonts w:ascii="Times New Roman" w:hAnsi="Times New Roman" w:cs="Times New Roman"/>
          <w:sz w:val="24"/>
          <w:szCs w:val="24"/>
        </w:rPr>
        <w:t>% Decreasing</w:t>
      </w:r>
      <w:r w:rsidRPr="00F40B0D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First BGL-Final BGL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First BGL</m:t>
            </m:r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Pr="00F40B0D">
        <w:rPr>
          <w:sz w:val="24"/>
          <w:szCs w:val="24"/>
        </w:rPr>
        <w:t xml:space="preserve"> (</w:t>
      </w:r>
      <w:proofErr w:type="spellStart"/>
      <w:r w:rsidRPr="00F40B0D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F40B0D">
        <w:rPr>
          <w:rFonts w:ascii="Times New Roman" w:hAnsi="Times New Roman" w:cs="Times New Roman"/>
          <w:sz w:val="24"/>
          <w:szCs w:val="24"/>
        </w:rPr>
        <w:t>, 2012).</w:t>
      </w:r>
      <w:r w:rsidR="00F7642A"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9B307D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8"/>
          <w:szCs w:val="28"/>
        </w:rPr>
        <w:t>DATA ANALYSIS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</w:t>
      </w:r>
    </w:p>
    <w:p w14:paraId="3FA00A58" w14:textId="77777777" w:rsidR="00F7642A" w:rsidRPr="00466E2A" w:rsidRDefault="001B1143" w:rsidP="00F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2401476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The collected data was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>quantitative, including the</w:t>
      </w:r>
      <w:bookmarkEnd w:id="1"/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>level of blood glucose level of the rats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>The data was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 analyzed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F7642A" w:rsidRPr="00466E2A">
        <w:rPr>
          <w:rFonts w:ascii="Times New Roman" w:eastAsia="Times New Roman" w:hAnsi="Times New Roman" w:cs="Times New Roman"/>
          <w:i/>
          <w:iCs/>
          <w:sz w:val="24"/>
          <w:szCs w:val="24"/>
        </w:rPr>
        <w:t>Kolmogorov-Smirnov test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 to know the normality of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data distribution and </w:t>
      </w:r>
      <w:proofErr w:type="spellStart"/>
      <w:r w:rsidRPr="00466E2A">
        <w:rPr>
          <w:rFonts w:ascii="Times New Roman" w:eastAsia="Times New Roman" w:hAnsi="Times New Roman" w:cs="Times New Roman"/>
          <w:i/>
          <w:iCs/>
          <w:sz w:val="24"/>
          <w:szCs w:val="24"/>
        </w:rPr>
        <w:t>Levene's</w:t>
      </w:r>
      <w:proofErr w:type="spellEnd"/>
      <w:r w:rsidRPr="00466E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Test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to find out the homogeneity of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data variance. The </w:t>
      </w:r>
      <w:r w:rsidR="005B651C" w:rsidRPr="00466E2A">
        <w:rPr>
          <w:rFonts w:ascii="Times New Roman" w:eastAsia="Times New Roman" w:hAnsi="Times New Roman" w:cs="Times New Roman"/>
          <w:sz w:val="24"/>
          <w:szCs w:val="24"/>
        </w:rPr>
        <w:t xml:space="preserve">obtained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5B651C" w:rsidRPr="00466E2A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51C" w:rsidRPr="00466E2A">
        <w:rPr>
          <w:rFonts w:ascii="Times New Roman" w:eastAsia="Times New Roman" w:hAnsi="Times New Roman" w:cs="Times New Roman"/>
          <w:sz w:val="24"/>
          <w:szCs w:val="24"/>
        </w:rPr>
        <w:t xml:space="preserve">distributed into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normal and homogeneous </w:t>
      </w:r>
      <w:r w:rsidR="005B651C" w:rsidRPr="00466E2A">
        <w:rPr>
          <w:rFonts w:ascii="Times New Roman" w:eastAsia="Times New Roman" w:hAnsi="Times New Roman" w:cs="Times New Roman"/>
          <w:sz w:val="24"/>
          <w:szCs w:val="24"/>
        </w:rPr>
        <w:t xml:space="preserve">then it was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>followed by ANOVA test and real difference test (</w:t>
      </w:r>
      <w:r w:rsidR="00F7642A" w:rsidRPr="00466E2A">
        <w:rPr>
          <w:rFonts w:ascii="Times New Roman" w:eastAsia="Times New Roman" w:hAnsi="Times New Roman" w:cs="Times New Roman"/>
          <w:i/>
          <w:iCs/>
          <w:sz w:val="24"/>
          <w:szCs w:val="24"/>
        </w:rPr>
        <w:t>Duncan)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. The data </w:t>
      </w:r>
      <w:r w:rsidR="00B96A33" w:rsidRPr="00466E2A">
        <w:rPr>
          <w:rFonts w:ascii="Times New Roman" w:eastAsia="Times New Roman" w:hAnsi="Times New Roman" w:cs="Times New Roman"/>
          <w:sz w:val="24"/>
          <w:szCs w:val="24"/>
        </w:rPr>
        <w:t>which was not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 distributed </w:t>
      </w:r>
      <w:r w:rsidR="00B96A33" w:rsidRPr="00466E2A">
        <w:rPr>
          <w:rFonts w:ascii="Times New Roman" w:eastAsia="Times New Roman" w:hAnsi="Times New Roman" w:cs="Times New Roman"/>
          <w:sz w:val="24"/>
          <w:szCs w:val="24"/>
        </w:rPr>
        <w:t xml:space="preserve">into normal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but homogeneous then transformed by Log, Ln and SQRT and non-parametric test using </w:t>
      </w:r>
      <w:proofErr w:type="spellStart"/>
      <w:r w:rsidR="00F7642A" w:rsidRPr="00466E2A">
        <w:rPr>
          <w:rFonts w:ascii="Times New Roman" w:eastAsia="Times New Roman" w:hAnsi="Times New Roman" w:cs="Times New Roman"/>
          <w:i/>
          <w:iCs/>
          <w:sz w:val="24"/>
          <w:szCs w:val="24"/>
        </w:rPr>
        <w:t>Kruskal</w:t>
      </w:r>
      <w:proofErr w:type="spellEnd"/>
      <w:r w:rsidR="00F7642A" w:rsidRPr="00466E2A">
        <w:rPr>
          <w:rFonts w:ascii="Times New Roman" w:eastAsia="Times New Roman" w:hAnsi="Times New Roman" w:cs="Times New Roman"/>
          <w:i/>
          <w:iCs/>
          <w:sz w:val="24"/>
          <w:szCs w:val="24"/>
        </w:rPr>
        <w:t>-Wallis test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A33" w:rsidRPr="00466E2A">
        <w:rPr>
          <w:rFonts w:ascii="Times New Roman" w:eastAsia="Times New Roman" w:hAnsi="Times New Roman" w:cs="Times New Roman"/>
          <w:sz w:val="24"/>
          <w:szCs w:val="24"/>
        </w:rPr>
        <w:t>was done and continued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A33" w:rsidRPr="00466E2A">
        <w:rPr>
          <w:rFonts w:ascii="Times New Roman" w:eastAsia="Times New Roman" w:hAnsi="Times New Roman" w:cs="Times New Roman"/>
          <w:sz w:val="24"/>
          <w:szCs w:val="24"/>
        </w:rPr>
        <w:t xml:space="preserve">by Real Difference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>test (</w:t>
      </w:r>
      <w:r w:rsidR="00F7642A" w:rsidRPr="00466E2A">
        <w:rPr>
          <w:rFonts w:ascii="Times New Roman" w:eastAsia="Times New Roman" w:hAnsi="Times New Roman" w:cs="Times New Roman"/>
          <w:i/>
          <w:iCs/>
          <w:sz w:val="24"/>
          <w:szCs w:val="24"/>
        </w:rPr>
        <w:t>Duncan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9B9B120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3CD0CB0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8"/>
          <w:szCs w:val="28"/>
        </w:rPr>
        <w:t>RESULTS AND DISCUSSION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CA3B6" w14:textId="77777777" w:rsidR="00F7642A" w:rsidRPr="00466E2A" w:rsidRDefault="005F3F94" w:rsidP="005F3F9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Blood Glucose Level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 of White Rats </w:t>
      </w:r>
    </w:p>
    <w:p w14:paraId="7ED16CE8" w14:textId="77777777" w:rsidR="00F7642A" w:rsidRPr="00F7642A" w:rsidRDefault="00F7642A" w:rsidP="005F3F94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Based on the results of sta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>tistical analysis, from the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 xml:space="preserve">use of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ANOVA 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for the normal and homogeneous distributed and 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>the use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466E2A">
        <w:rPr>
          <w:rFonts w:ascii="Times New Roman" w:eastAsia="Times New Roman" w:hAnsi="Times New Roman" w:cs="Times New Roman"/>
          <w:i/>
          <w:iCs/>
          <w:sz w:val="24"/>
          <w:szCs w:val="24"/>
        </w:rPr>
        <w:t>Kruskall</w:t>
      </w:r>
      <w:proofErr w:type="spellEnd"/>
      <w:r w:rsidRPr="00466E2A">
        <w:rPr>
          <w:rFonts w:ascii="Times New Roman" w:eastAsia="Times New Roman" w:hAnsi="Times New Roman" w:cs="Times New Roman"/>
          <w:i/>
          <w:iCs/>
          <w:sz w:val="24"/>
          <w:szCs w:val="24"/>
        </w:rPr>
        <w:t>-Wallis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D58" w:rsidRPr="00466E2A"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>for the non-normal distribu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 xml:space="preserve">ted but homogeneous and also continued by the use of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>Real D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>i</w:t>
      </w:r>
      <w:r w:rsidR="00C17D58" w:rsidRPr="00466E2A">
        <w:rPr>
          <w:rFonts w:ascii="Times New Roman" w:eastAsia="Times New Roman" w:hAnsi="Times New Roman" w:cs="Times New Roman"/>
          <w:sz w:val="24"/>
          <w:szCs w:val="24"/>
        </w:rPr>
        <w:t>fference test using Duncan t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>est, the obtained result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>is that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catfish biscuits </w:t>
      </w:r>
      <w:r w:rsidR="00AD13F5" w:rsidRPr="00466E2A">
        <w:rPr>
          <w:rFonts w:ascii="Times New Roman" w:eastAsia="Times New Roman" w:hAnsi="Times New Roman" w:cs="Times New Roman"/>
          <w:sz w:val="24"/>
          <w:szCs w:val="24"/>
        </w:rPr>
        <w:t xml:space="preserve">giving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have a significant effect on </w:t>
      </w:r>
      <w:r w:rsidR="00C17D58" w:rsidRPr="0046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>blood glucose level of white rat</w:t>
      </w:r>
      <w:r w:rsidR="00C17D58" w:rsidRPr="00466E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C17D58" w:rsidRPr="00466E2A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of blood glucose level of catfish biscuit treatment is still within the normal range. </w:t>
      </w:r>
      <w:r w:rsidR="00946335" w:rsidRPr="00466E2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blood </w:t>
      </w:r>
      <w:r w:rsidR="00946335" w:rsidRPr="00466E2A">
        <w:rPr>
          <w:rFonts w:ascii="Times New Roman" w:eastAsia="Times New Roman" w:hAnsi="Times New Roman" w:cs="Times New Roman"/>
          <w:sz w:val="24"/>
          <w:szCs w:val="24"/>
        </w:rPr>
        <w:t>glucose normal level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of white rat</w:t>
      </w:r>
      <w:r w:rsidR="00946335" w:rsidRPr="00466E2A">
        <w:rPr>
          <w:rFonts w:ascii="Times New Roman" w:eastAsia="Times New Roman" w:hAnsi="Times New Roman" w:cs="Times New Roman"/>
          <w:sz w:val="24"/>
          <w:szCs w:val="24"/>
        </w:rPr>
        <w:t xml:space="preserve"> is recorded 50-135 mg/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6335" w:rsidRPr="00466E2A">
        <w:rPr>
          <w:rFonts w:ascii="Times New Roman" w:eastAsia="Times New Roman" w:hAnsi="Times New Roman" w:cs="Times New Roman"/>
          <w:sz w:val="24"/>
          <w:szCs w:val="24"/>
        </w:rPr>
        <w:t>The average level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of blood gluco</w:t>
      </w:r>
      <w:r w:rsidR="00851852" w:rsidRPr="00466E2A">
        <w:rPr>
          <w:rFonts w:ascii="Times New Roman" w:eastAsia="Times New Roman" w:hAnsi="Times New Roman" w:cs="Times New Roman"/>
          <w:sz w:val="24"/>
          <w:szCs w:val="24"/>
        </w:rPr>
        <w:t>se (mg/</w:t>
      </w:r>
      <w:proofErr w:type="spellStart"/>
      <w:r w:rsidR="00946335" w:rsidRPr="00466E2A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="00946335" w:rsidRPr="00466E2A">
        <w:rPr>
          <w:rFonts w:ascii="Times New Roman" w:eastAsia="Times New Roman" w:hAnsi="Times New Roman" w:cs="Times New Roman"/>
          <w:sz w:val="24"/>
          <w:szCs w:val="24"/>
        </w:rPr>
        <w:t>) can be seen in Table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1 below:</w:t>
      </w:r>
    </w:p>
    <w:p w14:paraId="434C00C9" w14:textId="77777777" w:rsidR="00F7642A" w:rsidRDefault="00F7642A" w:rsidP="00F76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7642A">
        <w:rPr>
          <w:rFonts w:ascii="Times New Roman" w:eastAsia="Times New Roman" w:hAnsi="Times New Roman" w:cs="Times New Roman"/>
        </w:rPr>
        <w:t> </w:t>
      </w:r>
    </w:p>
    <w:p w14:paraId="55C6E646" w14:textId="77777777" w:rsidR="008F17F1" w:rsidRDefault="008F17F1" w:rsidP="00F76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4A7D01AB" w14:textId="77777777" w:rsidR="008F17F1" w:rsidRDefault="008F17F1" w:rsidP="00F76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8B5C8B9" w14:textId="77777777" w:rsidR="008F17F1" w:rsidRDefault="008F17F1" w:rsidP="00F76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0E2459D" w14:textId="77777777" w:rsidR="008F17F1" w:rsidRDefault="008F17F1" w:rsidP="00F76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73955ACB" w14:textId="77777777" w:rsidR="008F17F1" w:rsidRDefault="008F17F1" w:rsidP="00F76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43C917E1" w14:textId="77777777" w:rsidR="008F17F1" w:rsidRPr="00F7642A" w:rsidRDefault="008F17F1" w:rsidP="00F76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5EF94" w14:textId="77777777" w:rsidR="00F7642A" w:rsidRPr="00F7642A" w:rsidRDefault="00F7642A" w:rsidP="00F76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</w:rPr>
        <w:lastRenderedPageBreak/>
        <w:t> </w:t>
      </w:r>
    </w:p>
    <w:p w14:paraId="3CE4B644" w14:textId="77777777" w:rsidR="00F7642A" w:rsidRPr="00F7642A" w:rsidRDefault="00F7642A" w:rsidP="00F764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</w:rPr>
        <w:t xml:space="preserve">Table 1. </w:t>
      </w:r>
      <w:r w:rsidR="000967B4">
        <w:rPr>
          <w:rFonts w:ascii="Times New Roman" w:eastAsia="Times New Roman" w:hAnsi="Times New Roman" w:cs="Times New Roman"/>
        </w:rPr>
        <w:t>The Average Value of Blood Glucose Level (mg/</w:t>
      </w:r>
      <w:proofErr w:type="spellStart"/>
      <w:r w:rsidRPr="00F7642A">
        <w:rPr>
          <w:rFonts w:ascii="Times New Roman" w:eastAsia="Times New Roman" w:hAnsi="Times New Roman" w:cs="Times New Roman"/>
        </w:rPr>
        <w:t>dL</w:t>
      </w:r>
      <w:proofErr w:type="spellEnd"/>
      <w:r w:rsidRPr="00F7642A">
        <w:rPr>
          <w:rFonts w:ascii="Times New Roman" w:eastAsia="Times New Roman" w:hAnsi="Times New Roman" w:cs="Times New Roman"/>
        </w:rPr>
        <w:t>)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82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05"/>
        <w:gridCol w:w="1306"/>
        <w:gridCol w:w="1204"/>
        <w:gridCol w:w="1261"/>
        <w:gridCol w:w="1182"/>
        <w:gridCol w:w="1170"/>
        <w:gridCol w:w="1170"/>
      </w:tblGrid>
      <w:tr w:rsidR="00511210" w:rsidRPr="000967B4" w14:paraId="039BA64A" w14:textId="77777777" w:rsidTr="00E27668">
        <w:trPr>
          <w:trHeight w:val="374"/>
        </w:trPr>
        <w:tc>
          <w:tcPr>
            <w:tcW w:w="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311CB4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2" w:name="_Hlk512400271"/>
            <w:r w:rsidRPr="000967B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83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27029A" w14:textId="77777777" w:rsidR="00511210" w:rsidRPr="000967B4" w:rsidRDefault="00511210" w:rsidP="00E27668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Hari ke-</w:t>
            </w:r>
          </w:p>
        </w:tc>
      </w:tr>
      <w:tr w:rsidR="00511210" w:rsidRPr="000967B4" w14:paraId="40234B76" w14:textId="77777777" w:rsidTr="00E27668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471E48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46168E1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78014678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63F9556A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6F4EAC08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382A97A8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508DF79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71FDD2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</w:p>
        </w:tc>
      </w:tr>
      <w:tr w:rsidR="00511210" w:rsidRPr="000967B4" w14:paraId="2FC4EB6E" w14:textId="77777777" w:rsidTr="00E27668">
        <w:trPr>
          <w:trHeight w:val="438"/>
        </w:trPr>
        <w:tc>
          <w:tcPr>
            <w:tcW w:w="422" w:type="dxa"/>
            <w:tcBorders>
              <w:top w:val="single" w:sz="4" w:space="0" w:color="auto"/>
              <w:bottom w:val="nil"/>
            </w:tcBorders>
          </w:tcPr>
          <w:p w14:paraId="2512D678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</w:tcPr>
          <w:p w14:paraId="5EBA82F2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167±33.66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343E7773" w14:textId="77777777" w:rsidR="00511210" w:rsidRPr="000967B4" w:rsidRDefault="00511210" w:rsidP="00E27668">
            <w:pPr>
              <w:spacing w:line="360" w:lineRule="auto"/>
              <w:ind w:left="-45" w:firstLine="45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107±12.71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14:paraId="5B794214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118±28.16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14:paraId="55E8E829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113±11.58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</w:tcPr>
          <w:p w14:paraId="631F4023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106±22.95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40EC775A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117±41.73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4AAB7C1B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122±3.40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511210" w:rsidRPr="000967B4" w14:paraId="65219745" w14:textId="77777777" w:rsidTr="00E27668">
        <w:trPr>
          <w:trHeight w:val="389"/>
        </w:trPr>
        <w:tc>
          <w:tcPr>
            <w:tcW w:w="422" w:type="dxa"/>
            <w:tcBorders>
              <w:top w:val="nil"/>
              <w:bottom w:val="nil"/>
            </w:tcBorders>
          </w:tcPr>
          <w:p w14:paraId="3088A9B6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5E3814A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397±55.19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3E3A304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286±110.21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4EF18D98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307±55.72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3D1E274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274±120.94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45E934A3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415±147.21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E952968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405±147.25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B624C9A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335±122.56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511210" w:rsidRPr="000967B4" w14:paraId="333CB965" w14:textId="77777777" w:rsidTr="00E27668">
        <w:trPr>
          <w:trHeight w:val="465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54B51E69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35C9502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465±174.41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14:paraId="51CD5906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407±92.13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DDD1937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364±62.32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14:paraId="361D2B3F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291±11.41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14:paraId="1810E8AE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190±33.51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BBB180D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137±7.94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3969772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92±8.04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511210" w:rsidRPr="000967B4" w14:paraId="213FF773" w14:textId="77777777" w:rsidTr="00E27668">
        <w:trPr>
          <w:trHeight w:val="377"/>
        </w:trPr>
        <w:tc>
          <w:tcPr>
            <w:tcW w:w="422" w:type="dxa"/>
          </w:tcPr>
          <w:p w14:paraId="3BA12E62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05" w:type="dxa"/>
          </w:tcPr>
          <w:p w14:paraId="317D4583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472±96.27</w:t>
            </w:r>
          </w:p>
        </w:tc>
        <w:tc>
          <w:tcPr>
            <w:tcW w:w="1306" w:type="dxa"/>
          </w:tcPr>
          <w:p w14:paraId="2DE07940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251±105.13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04" w:type="dxa"/>
          </w:tcPr>
          <w:p w14:paraId="17984ABE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291 ±98.98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61" w:type="dxa"/>
          </w:tcPr>
          <w:p w14:paraId="4878213B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270±120.3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182" w:type="dxa"/>
          </w:tcPr>
          <w:p w14:paraId="439FB5D7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244±117.44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</w:tcPr>
          <w:p w14:paraId="610FD80A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174±56.09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37DFD6CB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121±23.69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511210" w:rsidRPr="000967B4" w14:paraId="79617FA4" w14:textId="77777777" w:rsidTr="00E27668">
        <w:trPr>
          <w:trHeight w:val="412"/>
        </w:trPr>
        <w:tc>
          <w:tcPr>
            <w:tcW w:w="422" w:type="dxa"/>
            <w:shd w:val="clear" w:color="auto" w:fill="auto"/>
          </w:tcPr>
          <w:p w14:paraId="2E04B81E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05" w:type="dxa"/>
          </w:tcPr>
          <w:p w14:paraId="0618195D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470±92.50</w:t>
            </w:r>
          </w:p>
        </w:tc>
        <w:tc>
          <w:tcPr>
            <w:tcW w:w="1306" w:type="dxa"/>
            <w:shd w:val="clear" w:color="auto" w:fill="auto"/>
          </w:tcPr>
          <w:p w14:paraId="6591BCAE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373±75.84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04" w:type="dxa"/>
            <w:shd w:val="clear" w:color="auto" w:fill="auto"/>
          </w:tcPr>
          <w:p w14:paraId="23004C62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243±15.56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61" w:type="dxa"/>
            <w:shd w:val="clear" w:color="auto" w:fill="auto"/>
          </w:tcPr>
          <w:p w14:paraId="5D7F1807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136±15.53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2" w:type="dxa"/>
            <w:shd w:val="clear" w:color="auto" w:fill="auto"/>
          </w:tcPr>
          <w:p w14:paraId="6FC9A8DF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167±20.25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170" w:type="dxa"/>
            <w:shd w:val="clear" w:color="auto" w:fill="auto"/>
          </w:tcPr>
          <w:p w14:paraId="2660552B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166±21.65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14:paraId="58B02AA9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101±5.36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511210" w:rsidRPr="000967B4" w14:paraId="5568DE02" w14:textId="77777777" w:rsidTr="00E27668">
        <w:trPr>
          <w:trHeight w:val="389"/>
        </w:trPr>
        <w:tc>
          <w:tcPr>
            <w:tcW w:w="422" w:type="dxa"/>
            <w:shd w:val="clear" w:color="auto" w:fill="auto"/>
          </w:tcPr>
          <w:p w14:paraId="2C6AA626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05" w:type="dxa"/>
          </w:tcPr>
          <w:p w14:paraId="1274C51E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466±160.45</w:t>
            </w:r>
          </w:p>
        </w:tc>
        <w:tc>
          <w:tcPr>
            <w:tcW w:w="1306" w:type="dxa"/>
            <w:shd w:val="clear" w:color="auto" w:fill="auto"/>
          </w:tcPr>
          <w:p w14:paraId="24BAC40D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266±129.9 9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04" w:type="dxa"/>
            <w:shd w:val="clear" w:color="auto" w:fill="auto"/>
          </w:tcPr>
          <w:p w14:paraId="2BFFEA62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249±105.73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61" w:type="dxa"/>
            <w:shd w:val="clear" w:color="auto" w:fill="auto"/>
          </w:tcPr>
          <w:p w14:paraId="13CF8C45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163±33.38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182" w:type="dxa"/>
            <w:shd w:val="clear" w:color="auto" w:fill="auto"/>
          </w:tcPr>
          <w:p w14:paraId="1C44DE4D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128±21.40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170" w:type="dxa"/>
            <w:shd w:val="clear" w:color="auto" w:fill="auto"/>
          </w:tcPr>
          <w:p w14:paraId="19110265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127±34.95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14:paraId="3C95AF0A" w14:textId="77777777" w:rsidR="00511210" w:rsidRPr="000967B4" w:rsidRDefault="00511210" w:rsidP="00E2766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93±4.21</w:t>
            </w:r>
            <w:r w:rsidRPr="000967B4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</w:tbl>
    <w:bookmarkEnd w:id="2"/>
    <w:p w14:paraId="3319E897" w14:textId="77777777" w:rsidR="00F7642A" w:rsidRPr="00F7642A" w:rsidRDefault="00C95EF6" w:rsidP="00F7642A">
      <w:pPr>
        <w:spacing w:after="240" w:line="235" w:lineRule="auto"/>
        <w:ind w:right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The f</w:t>
      </w:r>
      <w:r w:rsidR="00F7642A" w:rsidRPr="00F7642A">
        <w:rPr>
          <w:rFonts w:ascii="Times New Roman" w:eastAsia="Times New Roman" w:hAnsi="Times New Roman" w:cs="Times New Roman"/>
          <w:sz w:val="20"/>
          <w:szCs w:val="20"/>
        </w:rPr>
        <w:t xml:space="preserve">igures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are </w:t>
      </w:r>
      <w:r w:rsidR="00F7642A" w:rsidRPr="00F7642A">
        <w:rPr>
          <w:rFonts w:ascii="Times New Roman" w:eastAsia="Times New Roman" w:hAnsi="Times New Roman" w:cs="Times New Roman"/>
          <w:sz w:val="20"/>
          <w:szCs w:val="20"/>
        </w:rPr>
        <w:t xml:space="preserve">followed by the same letter in the same column </w:t>
      </w:r>
      <w:r w:rsidR="00E51D11">
        <w:rPr>
          <w:rFonts w:ascii="Times New Roman" w:eastAsia="Times New Roman" w:hAnsi="Times New Roman" w:cs="Times New Roman"/>
          <w:sz w:val="20"/>
          <w:szCs w:val="20"/>
        </w:rPr>
        <w:t>show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 real</w:t>
      </w:r>
      <w:r w:rsidR="0067374A">
        <w:rPr>
          <w:rFonts w:ascii="Times New Roman" w:eastAsia="Times New Roman" w:hAnsi="Times New Roman" w:cs="Times New Roman"/>
          <w:sz w:val="20"/>
          <w:szCs w:val="20"/>
        </w:rPr>
        <w:t xml:space="preserve"> difference</w:t>
      </w:r>
      <w:r w:rsidR="00F7642A" w:rsidRPr="00F7642A">
        <w:rPr>
          <w:rFonts w:ascii="Times New Roman" w:eastAsia="Times New Roman" w:hAnsi="Times New Roman" w:cs="Times New Roman"/>
          <w:sz w:val="20"/>
          <w:szCs w:val="20"/>
        </w:rPr>
        <w:t xml:space="preserve"> (P&gt; 0.05), while the figure</w:t>
      </w:r>
      <w:r w:rsidR="00E51D11">
        <w:rPr>
          <w:rFonts w:ascii="Times New Roman" w:eastAsia="Times New Roman" w:hAnsi="Times New Roman" w:cs="Times New Roman"/>
          <w:sz w:val="20"/>
          <w:szCs w:val="20"/>
        </w:rPr>
        <w:t>s</w:t>
      </w:r>
      <w:r w:rsidR="00F7642A" w:rsidRPr="00F7642A">
        <w:rPr>
          <w:rFonts w:ascii="Times New Roman" w:eastAsia="Times New Roman" w:hAnsi="Times New Roman" w:cs="Times New Roman"/>
          <w:sz w:val="20"/>
          <w:szCs w:val="20"/>
        </w:rPr>
        <w:t xml:space="preserve"> with different lett</w:t>
      </w:r>
      <w:r w:rsidR="00E51D11">
        <w:rPr>
          <w:rFonts w:ascii="Times New Roman" w:eastAsia="Times New Roman" w:hAnsi="Times New Roman" w:cs="Times New Roman"/>
          <w:sz w:val="20"/>
          <w:szCs w:val="20"/>
        </w:rPr>
        <w:t xml:space="preserve">ers in the same column indicate the </w:t>
      </w:r>
      <w:r w:rsidR="00F7642A" w:rsidRPr="00F7642A">
        <w:rPr>
          <w:rFonts w:ascii="Times New Roman" w:eastAsia="Times New Roman" w:hAnsi="Times New Roman" w:cs="Times New Roman"/>
          <w:sz w:val="20"/>
          <w:szCs w:val="20"/>
        </w:rPr>
        <w:t xml:space="preserve">values </w:t>
      </w:r>
      <w:r w:rsidR="00E51D11">
        <w:rPr>
          <w:rFonts w:ascii="Times New Roman" w:eastAsia="Times New Roman" w:hAnsi="Times New Roman" w:cs="Times New Roman"/>
          <w:sz w:val="20"/>
          <w:szCs w:val="20"/>
        </w:rPr>
        <w:t>are real</w:t>
      </w:r>
      <w:r w:rsidR="0067374A">
        <w:rPr>
          <w:rFonts w:ascii="Times New Roman" w:eastAsia="Times New Roman" w:hAnsi="Times New Roman" w:cs="Times New Roman"/>
          <w:sz w:val="20"/>
          <w:szCs w:val="20"/>
        </w:rPr>
        <w:t xml:space="preserve"> difference</w:t>
      </w:r>
      <w:r w:rsidR="00F7642A" w:rsidRPr="00F7642A">
        <w:rPr>
          <w:rFonts w:ascii="Times New Roman" w:eastAsia="Times New Roman" w:hAnsi="Times New Roman" w:cs="Times New Roman"/>
          <w:sz w:val="20"/>
          <w:szCs w:val="20"/>
        </w:rPr>
        <w:t xml:space="preserve"> (P&gt; 0.05). </w:t>
      </w:r>
    </w:p>
    <w:p w14:paraId="03FCB7FC" w14:textId="77777777" w:rsidR="00F7642A" w:rsidRPr="00466E2A" w:rsidRDefault="00CF3A8C" w:rsidP="00CF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12AEAD5" w14:textId="77777777" w:rsidR="00F7642A" w:rsidRPr="00466E2A" w:rsidRDefault="00F7642A" w:rsidP="00CF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ab/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>Treatment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7FAE45" w14:textId="77777777" w:rsidR="00F7642A" w:rsidRPr="00466E2A" w:rsidRDefault="00F7642A" w:rsidP="00CF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N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ab/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= Normal treatment without 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induction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is only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given 0.5%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Na-CMC </w:t>
      </w:r>
    </w:p>
    <w:p w14:paraId="5B4D4C14" w14:textId="77777777" w:rsidR="00F7642A" w:rsidRPr="00466E2A" w:rsidRDefault="00F7642A" w:rsidP="00CF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-  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ab/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= Negative treatment with 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induction and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0.5%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Na-CMC </w:t>
      </w:r>
    </w:p>
    <w:p w14:paraId="3F6C9241" w14:textId="77777777" w:rsidR="00F7642A" w:rsidRPr="00466E2A" w:rsidRDefault="00F7642A" w:rsidP="00CF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+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ab/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= Positive treatment with 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induction and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Glibenclamide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338C2C" w14:textId="77777777" w:rsidR="00F7642A" w:rsidRPr="00466E2A" w:rsidRDefault="00F7642A" w:rsidP="00CF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A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ab/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= Treatment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which is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F1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biscuit </w:t>
      </w:r>
    </w:p>
    <w:p w14:paraId="2B95558B" w14:textId="77777777" w:rsidR="00F7642A" w:rsidRPr="00466E2A" w:rsidRDefault="00F7642A" w:rsidP="00CF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B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ab/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= Treatment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which is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F2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biscuit </w:t>
      </w:r>
    </w:p>
    <w:p w14:paraId="1AFF7C02" w14:textId="77777777" w:rsidR="00F7642A" w:rsidRPr="00466E2A" w:rsidRDefault="00F7642A" w:rsidP="00CF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ab/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= Treatment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which is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 xml:space="preserve">F3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biscuit </w:t>
      </w:r>
    </w:p>
    <w:p w14:paraId="56450947" w14:textId="77777777" w:rsidR="00466E2A" w:rsidRPr="00F7642A" w:rsidRDefault="00466E2A" w:rsidP="00CF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1DD9B" w14:textId="77777777" w:rsidR="00F7642A" w:rsidRPr="00466E2A" w:rsidRDefault="00F7642A" w:rsidP="00F7642A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>the Table 10, it shows that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on the 15</w:t>
      </w:r>
      <w:r w:rsidRPr="00466E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catfish biscuits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>giving with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>formula</w:t>
      </w:r>
      <w:r w:rsidR="00F77121" w:rsidRPr="00466E2A">
        <w:rPr>
          <w:rFonts w:ascii="Times New Roman" w:eastAsia="Times New Roman" w:hAnsi="Times New Roman" w:cs="Times New Roman"/>
          <w:sz w:val="24"/>
          <w:szCs w:val="24"/>
        </w:rPr>
        <w:t xml:space="preserve"> A, B and C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>it is obtained that the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blood </w:t>
      </w:r>
      <w:r w:rsidR="00CF3A8C" w:rsidRPr="00466E2A">
        <w:rPr>
          <w:rFonts w:ascii="Times New Roman" w:eastAsia="Times New Roman" w:hAnsi="Times New Roman" w:cs="Times New Roman"/>
          <w:sz w:val="24"/>
          <w:szCs w:val="24"/>
        </w:rPr>
        <w:t>glucose level of the rats is in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the normal range. </w:t>
      </w:r>
      <w:r w:rsidR="00F77121" w:rsidRPr="00466E2A">
        <w:rPr>
          <w:rFonts w:ascii="Times New Roman" w:eastAsia="Times New Roman" w:hAnsi="Times New Roman" w:cs="Times New Roman"/>
          <w:sz w:val="24"/>
          <w:szCs w:val="24"/>
        </w:rPr>
        <w:t xml:space="preserve">In the formula </w:t>
      </w:r>
      <w:proofErr w:type="gramStart"/>
      <w:r w:rsidR="00F77121" w:rsidRPr="00466E2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F77121" w:rsidRPr="00466E2A">
        <w:rPr>
          <w:rFonts w:ascii="Times New Roman" w:eastAsia="Times New Roman" w:hAnsi="Times New Roman" w:cs="Times New Roman"/>
          <w:sz w:val="24"/>
          <w:szCs w:val="24"/>
        </w:rPr>
        <w:t xml:space="preserve"> giving treatment, it is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obtained </w:t>
      </w:r>
      <w:r w:rsidR="00F77121" w:rsidRPr="00466E2A">
        <w:rPr>
          <w:rFonts w:ascii="Times New Roman" w:eastAsia="Times New Roman" w:hAnsi="Times New Roman" w:cs="Times New Roman"/>
          <w:sz w:val="24"/>
          <w:szCs w:val="24"/>
        </w:rPr>
        <w:t>that the blood glucose level is 121 mg/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121" w:rsidRPr="00466E2A">
        <w:rPr>
          <w:rFonts w:ascii="Times New Roman" w:eastAsia="Times New Roman" w:hAnsi="Times New Roman" w:cs="Times New Roman"/>
          <w:sz w:val="24"/>
          <w:szCs w:val="24"/>
        </w:rPr>
        <w:t xml:space="preserve"> in the formula B is 101 mg/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77121" w:rsidRPr="00466E2A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formula C </w:t>
      </w:r>
      <w:r w:rsidR="00F77121" w:rsidRPr="00466E2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5C0" w:rsidRPr="00466E2A">
        <w:rPr>
          <w:rFonts w:ascii="Times New Roman" w:eastAsia="Times New Roman" w:hAnsi="Times New Roman" w:cs="Times New Roman"/>
          <w:sz w:val="24"/>
          <w:szCs w:val="24"/>
        </w:rPr>
        <w:t>93 mg/</w:t>
      </w:r>
      <w:proofErr w:type="spellStart"/>
      <w:r w:rsidRPr="00466E2A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1F63F7" w14:textId="77777777" w:rsidR="00380E1C" w:rsidRPr="00466E2A" w:rsidRDefault="00E71758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E2A">
        <w:rPr>
          <w:rFonts w:ascii="Times New Roman" w:eastAsia="Times New Roman" w:hAnsi="Times New Roman" w:cs="Times New Roman"/>
          <w:sz w:val="24"/>
          <w:szCs w:val="24"/>
        </w:rPr>
        <w:t xml:space="preserve">The changes in the 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>blood gluc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>ose level of white rats i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n all treatments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>after the fifteenth day with biscuit giving is</w:t>
      </w:r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 xml:space="preserve"> presented in graphical form (Figure 1). The average graph of blood glucose </w:t>
      </w:r>
      <w:r w:rsidRPr="00466E2A">
        <w:rPr>
          <w:rFonts w:ascii="Times New Roman" w:eastAsia="Times New Roman" w:hAnsi="Times New Roman" w:cs="Times New Roman"/>
          <w:sz w:val="24"/>
          <w:szCs w:val="24"/>
        </w:rPr>
        <w:t>level (mg/</w:t>
      </w:r>
      <w:proofErr w:type="spellStart"/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="00F7642A" w:rsidRPr="00466E2A">
        <w:rPr>
          <w:rFonts w:ascii="Times New Roman" w:eastAsia="Times New Roman" w:hAnsi="Times New Roman" w:cs="Times New Roman"/>
          <w:sz w:val="24"/>
          <w:szCs w:val="24"/>
        </w:rPr>
        <w:t>) in all treatments can be seen in Figure 1 below:</w:t>
      </w:r>
    </w:p>
    <w:p w14:paraId="754AE0B4" w14:textId="77777777" w:rsidR="00466E2A" w:rsidRDefault="00466E2A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549B61C2" w14:textId="77777777" w:rsidR="00380E1C" w:rsidRDefault="00380E1C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68023FCB" w14:textId="77777777" w:rsidR="00380E1C" w:rsidRDefault="00380E1C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3956334D" w14:textId="77777777" w:rsidR="00380E1C" w:rsidRDefault="00380E1C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3AFAE1AC" w14:textId="77777777" w:rsidR="008F17F1" w:rsidRDefault="008F17F1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45B04F03" w14:textId="77777777" w:rsidR="008F17F1" w:rsidRDefault="008F17F1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17D40387" w14:textId="77777777" w:rsidR="008F17F1" w:rsidRDefault="008F17F1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3B9818ED" w14:textId="77777777" w:rsidR="008F17F1" w:rsidRDefault="008F17F1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55010F7E" w14:textId="77777777" w:rsidR="008F17F1" w:rsidRDefault="008F17F1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24BC34FC" w14:textId="77777777" w:rsidR="00380E1C" w:rsidRDefault="00380E1C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634963B6" w14:textId="77777777" w:rsidR="00380E1C" w:rsidRDefault="00466E2A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  <w:r w:rsidRPr="008C5B87">
        <w:rPr>
          <w:rFonts w:eastAsia="Batang"/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 wp14:anchorId="17008063" wp14:editId="094A16EE">
            <wp:simplePos x="0" y="0"/>
            <wp:positionH relativeFrom="column">
              <wp:posOffset>327731</wp:posOffset>
            </wp:positionH>
            <wp:positionV relativeFrom="paragraph">
              <wp:posOffset>98114</wp:posOffset>
            </wp:positionV>
            <wp:extent cx="4763135" cy="2846717"/>
            <wp:effectExtent l="0" t="0" r="18415" b="10795"/>
            <wp:wrapNone/>
            <wp:docPr id="3" name="Chart 3">
              <a:extLst xmlns:a="http://schemas.openxmlformats.org/drawingml/2006/main">
                <a:ext uri="{FF2B5EF4-FFF2-40B4-BE49-F238E27FC236}">
                  <a16:creationId xmlns:w15="http://schemas.microsoft.com/office/word/2012/wordml"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337DA" w14:textId="77777777" w:rsidR="00380E1C" w:rsidRDefault="00380E1C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72026DE6" w14:textId="77777777" w:rsidR="00380E1C" w:rsidRDefault="00380E1C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14:paraId="623F0A3D" w14:textId="77777777" w:rsidR="00380E1C" w:rsidRDefault="00380E1C" w:rsidP="00380E1C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89F67" w14:textId="77777777" w:rsidR="004A3347" w:rsidRPr="004A3347" w:rsidRDefault="00F7642A" w:rsidP="004A3347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Courier New" w:eastAsia="Times New Roman" w:hAnsi="Courier New" w:cs="Courier New"/>
          <w:sz w:val="20"/>
          <w:szCs w:val="20"/>
        </w:rPr>
        <w:t> 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87F2B5" w14:textId="77777777" w:rsidR="00466E2A" w:rsidRDefault="00466E2A" w:rsidP="004A3347">
      <w:pPr>
        <w:spacing w:after="240" w:line="240" w:lineRule="auto"/>
        <w:ind w:firstLine="6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76DDBF" w14:textId="77777777" w:rsidR="00466E2A" w:rsidRDefault="00466E2A" w:rsidP="004A3347">
      <w:pPr>
        <w:spacing w:after="240" w:line="240" w:lineRule="auto"/>
        <w:ind w:firstLine="6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25D9FB" w14:textId="77777777" w:rsidR="00466E2A" w:rsidRDefault="00466E2A" w:rsidP="004A3347">
      <w:pPr>
        <w:spacing w:after="240" w:line="240" w:lineRule="auto"/>
        <w:ind w:firstLine="6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2833BF" w14:textId="77777777" w:rsidR="00466E2A" w:rsidRDefault="00466E2A" w:rsidP="004A3347">
      <w:pPr>
        <w:spacing w:after="240" w:line="240" w:lineRule="auto"/>
        <w:ind w:firstLine="6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55FDC0" w14:textId="77777777" w:rsidR="00466E2A" w:rsidRDefault="00466E2A" w:rsidP="004A3347">
      <w:pPr>
        <w:spacing w:after="240" w:line="240" w:lineRule="auto"/>
        <w:ind w:firstLine="6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F4A702" w14:textId="77777777" w:rsidR="00F7642A" w:rsidRPr="00F7642A" w:rsidRDefault="00F7642A" w:rsidP="004A3347">
      <w:pPr>
        <w:spacing w:after="24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0"/>
          <w:szCs w:val="20"/>
        </w:rPr>
        <w:t>Figure 1.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83D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  <w:sz w:val="20"/>
          <w:szCs w:val="20"/>
        </w:rPr>
        <w:t>Average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83D">
        <w:rPr>
          <w:rFonts w:ascii="Times New Roman" w:eastAsia="Times New Roman" w:hAnsi="Times New Roman" w:cs="Times New Roman"/>
          <w:sz w:val="24"/>
          <w:szCs w:val="24"/>
        </w:rPr>
        <w:t xml:space="preserve">Graph of </w:t>
      </w:r>
      <w:r w:rsidRPr="00F7642A">
        <w:rPr>
          <w:rFonts w:ascii="Times New Roman" w:eastAsia="Times New Roman" w:hAnsi="Times New Roman" w:cs="Times New Roman"/>
          <w:sz w:val="20"/>
          <w:szCs w:val="20"/>
        </w:rPr>
        <w:t>Blood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  <w:sz w:val="20"/>
          <w:szCs w:val="20"/>
        </w:rPr>
        <w:t>Glucose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83D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CD383D">
        <w:rPr>
          <w:rFonts w:ascii="Times New Roman" w:eastAsia="Times New Roman" w:hAnsi="Times New Roman" w:cs="Times New Roman"/>
          <w:sz w:val="20"/>
          <w:szCs w:val="20"/>
        </w:rPr>
        <w:t>(mg/</w:t>
      </w:r>
      <w:proofErr w:type="spellStart"/>
      <w:r w:rsidRPr="00F7642A">
        <w:rPr>
          <w:rFonts w:ascii="Times New Roman" w:eastAsia="Times New Roman" w:hAnsi="Times New Roman" w:cs="Times New Roman"/>
          <w:sz w:val="20"/>
          <w:szCs w:val="20"/>
        </w:rPr>
        <w:t>dL</w:t>
      </w:r>
      <w:proofErr w:type="spellEnd"/>
      <w:r w:rsidRPr="00F7642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83D">
        <w:rPr>
          <w:rFonts w:ascii="Times New Roman" w:eastAsia="Times New Roman" w:hAnsi="Times New Roman" w:cs="Times New Roman"/>
          <w:sz w:val="20"/>
          <w:szCs w:val="20"/>
        </w:rPr>
        <w:t>in a</w:t>
      </w:r>
      <w:r w:rsidRPr="00F7642A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A">
        <w:rPr>
          <w:rFonts w:ascii="Times New Roman" w:eastAsia="Times New Roman" w:hAnsi="Times New Roman" w:cs="Times New Roman"/>
          <w:sz w:val="20"/>
          <w:szCs w:val="20"/>
        </w:rPr>
        <w:t>Treatments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B7E618" w14:textId="77777777" w:rsidR="00F7642A" w:rsidRPr="00466E2A" w:rsidRDefault="00F7642A" w:rsidP="00F7642A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315E9" w14:textId="77777777" w:rsidR="00F7642A" w:rsidRPr="00F7642A" w:rsidRDefault="00F7642A" w:rsidP="00F764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7642A">
        <w:rPr>
          <w:rFonts w:ascii="Times New Roman" w:eastAsia="Times New Roman" w:hAnsi="Times New Roman" w:cs="Times New Roman"/>
          <w:b/>
          <w:bCs/>
        </w:rPr>
        <w:t xml:space="preserve">Changes </w:t>
      </w:r>
      <w:r w:rsidR="004E39E1" w:rsidRPr="00F7642A">
        <w:rPr>
          <w:rFonts w:ascii="Times New Roman" w:eastAsia="Times New Roman" w:hAnsi="Times New Roman" w:cs="Times New Roman"/>
          <w:b/>
          <w:bCs/>
        </w:rPr>
        <w:t xml:space="preserve">Percentage </w:t>
      </w:r>
      <w:r w:rsidR="004E39E1">
        <w:rPr>
          <w:rFonts w:ascii="Times New Roman" w:eastAsia="Times New Roman" w:hAnsi="Times New Roman" w:cs="Times New Roman"/>
          <w:b/>
          <w:bCs/>
        </w:rPr>
        <w:t>of Blood Glucose Level from a</w:t>
      </w:r>
      <w:r w:rsidRPr="00F7642A">
        <w:rPr>
          <w:rFonts w:ascii="Times New Roman" w:eastAsia="Times New Roman" w:hAnsi="Times New Roman" w:cs="Times New Roman"/>
          <w:b/>
          <w:bCs/>
        </w:rPr>
        <w:t xml:space="preserve">ll Treatments </w:t>
      </w:r>
    </w:p>
    <w:p w14:paraId="426C7AC3" w14:textId="77777777" w:rsidR="00F7642A" w:rsidRPr="00276364" w:rsidRDefault="004E39E1" w:rsidP="00F7642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364"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>alcul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ation of 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blood glucose level 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decreasing percentage 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aims to know the ability of the treatment 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>in decreasing the blood glucose level which had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been tested for 15 days (Appendix 4 &amp; Appendix 5). 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 be also used to find out the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BD2" w:rsidRPr="00276364">
        <w:rPr>
          <w:rFonts w:ascii="Times New Roman" w:eastAsia="Times New Roman" w:hAnsi="Times New Roman" w:cs="Times New Roman"/>
          <w:sz w:val="24"/>
          <w:szCs w:val="24"/>
        </w:rPr>
        <w:t>decreasing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percentage 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in all treatments 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>that had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been tested. The highest percentage of </w:t>
      </w:r>
      <w:r w:rsidR="00792CE1" w:rsidRPr="0027636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>treatment</w:t>
      </w:r>
      <w:r w:rsidR="00792CE1" w:rsidRPr="002763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CE1" w:rsidRPr="00276364">
        <w:rPr>
          <w:rFonts w:ascii="Times New Roman" w:eastAsia="Times New Roman" w:hAnsi="Times New Roman" w:cs="Times New Roman"/>
          <w:sz w:val="24"/>
          <w:szCs w:val="24"/>
        </w:rPr>
        <w:t>in formula C is similar with the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positive control treatment. The calculation of </w:t>
      </w:r>
      <w:r w:rsidR="00792CE1" w:rsidRPr="00276364">
        <w:rPr>
          <w:rFonts w:ascii="Times New Roman" w:eastAsia="Times New Roman" w:hAnsi="Times New Roman" w:cs="Times New Roman"/>
          <w:sz w:val="24"/>
          <w:szCs w:val="24"/>
        </w:rPr>
        <w:t>the decreasing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CE1" w:rsidRPr="00276364">
        <w:rPr>
          <w:rFonts w:ascii="Times New Roman" w:eastAsia="Times New Roman" w:hAnsi="Times New Roman" w:cs="Times New Roman"/>
          <w:sz w:val="24"/>
          <w:szCs w:val="24"/>
        </w:rPr>
        <w:t xml:space="preserve">percentage 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can be seen in </w:t>
      </w:r>
      <w:r w:rsidR="00792CE1" w:rsidRPr="0027636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>Table 2 below:</w:t>
      </w:r>
    </w:p>
    <w:p w14:paraId="56AE72FD" w14:textId="77777777" w:rsidR="00F7642A" w:rsidRPr="00F7642A" w:rsidRDefault="00F7642A" w:rsidP="00792C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</w:rPr>
        <w:t xml:space="preserve">Table 2. </w:t>
      </w:r>
      <w:r w:rsidR="00792CE1">
        <w:rPr>
          <w:rFonts w:ascii="Times New Roman" w:eastAsia="Times New Roman" w:hAnsi="Times New Roman" w:cs="Times New Roman"/>
        </w:rPr>
        <w:t xml:space="preserve">The Decreasing </w:t>
      </w:r>
      <w:r w:rsidRPr="00F7642A">
        <w:rPr>
          <w:rFonts w:ascii="Times New Roman" w:eastAsia="Times New Roman" w:hAnsi="Times New Roman" w:cs="Times New Roman"/>
        </w:rPr>
        <w:t xml:space="preserve">Percentage of Blood Glucose </w:t>
      </w:r>
      <w:r w:rsidR="00792CE1">
        <w:rPr>
          <w:rFonts w:ascii="Times New Roman" w:eastAsia="Times New Roman" w:hAnsi="Times New Roman" w:cs="Times New Roman"/>
        </w:rPr>
        <w:t>Level</w:t>
      </w:r>
    </w:p>
    <w:tbl>
      <w:tblPr>
        <w:tblW w:w="0" w:type="auto"/>
        <w:tblInd w:w="1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3073"/>
      </w:tblGrid>
      <w:tr w:rsidR="00F7642A" w:rsidRPr="00F7642A" w14:paraId="5F96F9BA" w14:textId="77777777" w:rsidTr="00F7642A">
        <w:trPr>
          <w:trHeight w:val="363"/>
        </w:trPr>
        <w:tc>
          <w:tcPr>
            <w:tcW w:w="28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402E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12400777"/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</w:t>
            </w:r>
            <w:bookmarkEnd w:id="3"/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109B" w14:textId="77777777" w:rsidR="00F7642A" w:rsidRPr="00F7642A" w:rsidRDefault="00555DAA" w:rsidP="00F7642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Decreasing</w:t>
            </w:r>
            <w:r w:rsidR="00F7642A"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Percentage</w:t>
            </w:r>
            <w:r w:rsidR="00F7642A"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42A" w:rsidRPr="00F7642A" w14:paraId="0DD004A2" w14:textId="77777777" w:rsidTr="00F7642A">
        <w:trPr>
          <w:trHeight w:val="283"/>
        </w:trPr>
        <w:tc>
          <w:tcPr>
            <w:tcW w:w="28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324E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BD17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26.80</w:t>
            </w:r>
            <w:r w:rsidR="00555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42A" w:rsidRPr="00F7642A" w14:paraId="2A6A9F5A" w14:textId="77777777" w:rsidTr="00F7642A">
        <w:trPr>
          <w:trHeight w:val="269"/>
        </w:trPr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7633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309B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15.62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42A" w:rsidRPr="00F7642A" w14:paraId="76D6A4F3" w14:textId="77777777" w:rsidTr="00F7642A">
        <w:trPr>
          <w:trHeight w:val="287"/>
        </w:trPr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F6EB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6A30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80.23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42A" w:rsidRPr="00F7642A" w14:paraId="0CBEBFD3" w14:textId="77777777" w:rsidTr="00F7642A">
        <w:trPr>
          <w:trHeight w:val="277"/>
        </w:trPr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05AD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Formula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7A03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74.46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42A" w:rsidRPr="00F7642A" w14:paraId="2CA4A30C" w14:textId="77777777" w:rsidTr="00F7642A">
        <w:trPr>
          <w:trHeight w:val="295"/>
        </w:trPr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C983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Formula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C617B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78.47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42A" w:rsidRPr="00F7642A" w14:paraId="2699F71C" w14:textId="77777777" w:rsidTr="00F7642A">
        <w:trPr>
          <w:trHeight w:val="362"/>
        </w:trPr>
        <w:tc>
          <w:tcPr>
            <w:tcW w:w="287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C466" w14:textId="77777777" w:rsidR="00F7642A" w:rsidRPr="00F7642A" w:rsidRDefault="00F7642A" w:rsidP="00F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Formula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4A01" w14:textId="77777777" w:rsidR="00F7642A" w:rsidRPr="00F7642A" w:rsidRDefault="00F7642A" w:rsidP="00F7642A">
            <w:pPr>
              <w:spacing w:after="0" w:line="240" w:lineRule="auto"/>
              <w:ind w:left="157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80.20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7642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F7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A9B27A" w14:textId="77777777" w:rsidR="00F7642A" w:rsidRPr="00276364" w:rsidRDefault="00F7642A" w:rsidP="00F7642A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The treatment of </w:t>
      </w:r>
      <w:r w:rsidR="00A5379F" w:rsidRPr="00276364">
        <w:rPr>
          <w:rFonts w:ascii="Times New Roman" w:eastAsia="Times New Roman" w:hAnsi="Times New Roman" w:cs="Times New Roman"/>
          <w:sz w:val="24"/>
          <w:szCs w:val="24"/>
        </w:rPr>
        <w:t xml:space="preserve">catfish biscuit giving 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>at various levels of the formula at the end of the whole obs</w:t>
      </w:r>
      <w:r w:rsidR="005052B8" w:rsidRPr="00276364">
        <w:rPr>
          <w:rFonts w:ascii="Times New Roman" w:eastAsia="Times New Roman" w:hAnsi="Times New Roman" w:cs="Times New Roman"/>
          <w:sz w:val="24"/>
          <w:szCs w:val="24"/>
        </w:rPr>
        <w:t>ervation shows the percentage of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 effect that is </w:t>
      </w:r>
      <w:r w:rsidR="005052B8" w:rsidRPr="00276364">
        <w:rPr>
          <w:rFonts w:ascii="Times New Roman" w:eastAsia="Times New Roman" w:hAnsi="Times New Roman" w:cs="Times New Roman"/>
          <w:sz w:val="24"/>
          <w:szCs w:val="24"/>
        </w:rPr>
        <w:t>comparable to the increase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 in the formula. Normal</w:t>
      </w:r>
      <w:r w:rsidR="00CE7F8F" w:rsidRPr="00276364">
        <w:rPr>
          <w:rFonts w:ascii="Times New Roman" w:eastAsia="Times New Roman" w:hAnsi="Times New Roman" w:cs="Times New Roman"/>
          <w:sz w:val="24"/>
          <w:szCs w:val="24"/>
        </w:rPr>
        <w:t>, negative and positive control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 at the end of this treatment were 23.80%, 15.61</w:t>
      </w:r>
      <w:r w:rsidR="00CE7F8F" w:rsidRPr="00276364">
        <w:rPr>
          <w:rFonts w:ascii="Times New Roman" w:eastAsia="Times New Roman" w:hAnsi="Times New Roman" w:cs="Times New Roman"/>
          <w:sz w:val="24"/>
          <w:szCs w:val="24"/>
        </w:rPr>
        <w:t>% and 80.22%. The catfish biscuit giving treatment that has the highest decreasing percentage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F8F" w:rsidRPr="00276364">
        <w:rPr>
          <w:rFonts w:ascii="Times New Roman" w:eastAsia="Times New Roman" w:hAnsi="Times New Roman" w:cs="Times New Roman"/>
          <w:sz w:val="24"/>
          <w:szCs w:val="24"/>
        </w:rPr>
        <w:t>was in the formula C which was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 80.20%, while f</w:t>
      </w:r>
      <w:r w:rsidR="00CE7F8F" w:rsidRPr="00276364">
        <w:rPr>
          <w:rFonts w:ascii="Times New Roman" w:eastAsia="Times New Roman" w:hAnsi="Times New Roman" w:cs="Times New Roman"/>
          <w:sz w:val="24"/>
          <w:szCs w:val="24"/>
        </w:rPr>
        <w:t>or the formula A and formula B we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re 74.46% and 78.47% </w:t>
      </w:r>
    </w:p>
    <w:p w14:paraId="3830F333" w14:textId="77777777" w:rsidR="00F7642A" w:rsidRPr="00F7642A" w:rsidRDefault="00F7642A" w:rsidP="00F7642A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</w:rPr>
        <w:t> </w:t>
      </w:r>
    </w:p>
    <w:p w14:paraId="48EEAF30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8"/>
          <w:szCs w:val="28"/>
        </w:rPr>
        <w:lastRenderedPageBreak/>
        <w:t>CONCLUSION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C39F1B" w14:textId="77777777" w:rsidR="00F7642A" w:rsidRPr="00276364" w:rsidRDefault="00CE7F8F" w:rsidP="00F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364">
        <w:rPr>
          <w:rFonts w:ascii="Times New Roman" w:eastAsia="Times New Roman" w:hAnsi="Times New Roman" w:cs="Times New Roman"/>
          <w:sz w:val="24"/>
          <w:szCs w:val="24"/>
        </w:rPr>
        <w:t>It can be concluded that the catfish biscuit can affect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blood glucose level 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>and can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decrease</w:t>
      </w:r>
      <w:r w:rsidR="00466E2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blood glucose level with </w:t>
      </w:r>
      <w:r w:rsidRPr="00276364">
        <w:rPr>
          <w:rFonts w:ascii="Times New Roman" w:eastAsia="Times New Roman" w:hAnsi="Times New Roman" w:cs="Times New Roman"/>
          <w:sz w:val="24"/>
          <w:szCs w:val="24"/>
        </w:rPr>
        <w:t xml:space="preserve">the decreasing percentage </w:t>
      </w:r>
      <w:r w:rsidR="0038488F" w:rsidRPr="00276364">
        <w:rPr>
          <w:rFonts w:ascii="Times New Roman" w:eastAsia="Times New Roman" w:hAnsi="Times New Roman" w:cs="Times New Roman"/>
          <w:sz w:val="24"/>
          <w:szCs w:val="24"/>
        </w:rPr>
        <w:t>as many as</w:t>
      </w:r>
      <w:r w:rsidR="00F7642A" w:rsidRPr="00276364">
        <w:rPr>
          <w:rFonts w:ascii="Times New Roman" w:eastAsia="Times New Roman" w:hAnsi="Times New Roman" w:cs="Times New Roman"/>
          <w:sz w:val="24"/>
          <w:szCs w:val="24"/>
        </w:rPr>
        <w:t xml:space="preserve"> 80.20%. </w:t>
      </w:r>
    </w:p>
    <w:p w14:paraId="76BB7A0A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145CA6C" w14:textId="77777777" w:rsidR="00F7642A" w:rsidRPr="00F7642A" w:rsidRDefault="00F7642A" w:rsidP="00F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2A">
        <w:rPr>
          <w:rFonts w:ascii="Times New Roman" w:eastAsia="Times New Roman" w:hAnsi="Times New Roman" w:cs="Times New Roman"/>
          <w:sz w:val="28"/>
          <w:szCs w:val="28"/>
        </w:rPr>
        <w:t>BIBLIOGRAPHY</w:t>
      </w:r>
      <w:r w:rsidRPr="00F7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CF03D8" w14:textId="77777777" w:rsidR="00F64440" w:rsidRDefault="00F64440" w:rsidP="00276364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A8D697" w14:textId="219514A3" w:rsidR="00F64440" w:rsidRDefault="00F64440" w:rsidP="00F6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inherit" w:hAnsi="inherit" w:cs="Courier"/>
          <w:color w:val="222222"/>
          <w:sz w:val="24"/>
          <w:szCs w:val="24"/>
          <w:lang w:val="en"/>
        </w:rPr>
      </w:pPr>
      <w:r w:rsidRPr="00F64440">
        <w:rPr>
          <w:rFonts w:ascii="inherit" w:hAnsi="inherit" w:cs="Courier"/>
          <w:color w:val="222222"/>
          <w:sz w:val="24"/>
          <w:szCs w:val="24"/>
          <w:lang w:val="en"/>
        </w:rPr>
        <w:t xml:space="preserve">Amir, S.M.J., H. Wungouw &amp; D. Pangemanan. 2015. Blood Glucose Levels When in Patients with Type 2 Diabetes Mellitus in the Manado City Health Center. Journal of E-Biomedics (Ebm). 3 (1): 32-40 </w:t>
      </w:r>
    </w:p>
    <w:p w14:paraId="329BA389" w14:textId="00F3BC8D" w:rsidR="00F64440" w:rsidRDefault="00F64440" w:rsidP="00F6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hAnsi="inherit" w:cs="Courier"/>
          <w:color w:val="222222"/>
          <w:sz w:val="24"/>
          <w:szCs w:val="24"/>
          <w:lang w:val="en"/>
        </w:rPr>
      </w:pPr>
      <w:r w:rsidRPr="00F64440">
        <w:rPr>
          <w:rFonts w:ascii="inherit" w:hAnsi="inherit" w:cs="Courier"/>
          <w:color w:val="222222"/>
          <w:sz w:val="24"/>
          <w:szCs w:val="24"/>
          <w:lang w:val="en"/>
        </w:rPr>
        <w:t xml:space="preserve">Azrimaidaliza, 2011. Nutrient intake and diabetes mellitus. Journal of Public Health. 6 (1): 36-41 </w:t>
      </w:r>
    </w:p>
    <w:p w14:paraId="7DB08345" w14:textId="233D47AF" w:rsidR="00F64440" w:rsidRDefault="00F64440" w:rsidP="00F6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inherit" w:hAnsi="inherit" w:cs="Courier"/>
          <w:color w:val="222222"/>
          <w:sz w:val="24"/>
          <w:szCs w:val="24"/>
          <w:lang w:val="en"/>
        </w:rPr>
      </w:pPr>
      <w:r w:rsidRPr="00F64440">
        <w:rPr>
          <w:rFonts w:ascii="inherit" w:hAnsi="inherit" w:cs="Courier"/>
          <w:color w:val="222222"/>
          <w:sz w:val="24"/>
          <w:szCs w:val="24"/>
          <w:lang w:val="en"/>
        </w:rPr>
        <w:t xml:space="preserve">Liahaq, A. M., Dr. Sudrajat &amp; Dra Sudiastuti. 2015. Effectiveness Test of Karamunting Stems (Melastoma malabathricum L.) Against the Decrease in Diabetes Blood Glucose Levels of Mus (Mus musculus) Diabetes. Journal of East Borneo Science. 3 (3): 2015 </w:t>
      </w:r>
    </w:p>
    <w:p w14:paraId="41792843" w14:textId="288B28FF" w:rsidR="00F64440" w:rsidRPr="00F64440" w:rsidRDefault="00F64440" w:rsidP="00F6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inherit" w:hAnsi="inherit" w:cs="Courier"/>
          <w:color w:val="222222"/>
          <w:sz w:val="24"/>
          <w:szCs w:val="24"/>
        </w:rPr>
      </w:pPr>
      <w:r w:rsidRPr="00F64440">
        <w:rPr>
          <w:rFonts w:ascii="inherit" w:hAnsi="inherit" w:cs="Courier"/>
          <w:color w:val="222222"/>
          <w:sz w:val="24"/>
          <w:szCs w:val="24"/>
          <w:lang w:val="en"/>
        </w:rPr>
        <w:t>Hastarini, E., D. Fardiaz., H. E. Irianto &amp; S. Budijanto. 2012. Characteristics of Fish Oil from Siamese Patet Fish (Pangasius hypopthalmus) Filet Waste and Jambal Patang (Pangasius djambal). AGRITECH. 32 (4): 403-410</w:t>
      </w:r>
    </w:p>
    <w:p w14:paraId="13D338AF" w14:textId="77777777" w:rsidR="00F64440" w:rsidRPr="00276364" w:rsidRDefault="00F64440" w:rsidP="0027636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F64440" w:rsidRPr="0027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23AB" w14:textId="77777777" w:rsidR="00F64440" w:rsidRDefault="00F64440" w:rsidP="00276364">
      <w:pPr>
        <w:spacing w:after="0" w:line="240" w:lineRule="auto"/>
      </w:pPr>
      <w:r>
        <w:separator/>
      </w:r>
    </w:p>
  </w:endnote>
  <w:endnote w:type="continuationSeparator" w:id="0">
    <w:p w14:paraId="15134035" w14:textId="77777777" w:rsidR="00F64440" w:rsidRDefault="00F64440" w:rsidP="0027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E6E71" w14:textId="77777777" w:rsidR="00F64440" w:rsidRDefault="00F64440" w:rsidP="00276364">
      <w:pPr>
        <w:spacing w:after="0" w:line="240" w:lineRule="auto"/>
      </w:pPr>
      <w:r>
        <w:separator/>
      </w:r>
    </w:p>
  </w:footnote>
  <w:footnote w:type="continuationSeparator" w:id="0">
    <w:p w14:paraId="41CB1761" w14:textId="77777777" w:rsidR="00F64440" w:rsidRDefault="00F64440" w:rsidP="0027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8F"/>
    <w:multiLevelType w:val="multilevel"/>
    <w:tmpl w:val="F81E1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0B69"/>
    <w:multiLevelType w:val="multilevel"/>
    <w:tmpl w:val="E9F62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2D1F"/>
    <w:multiLevelType w:val="multilevel"/>
    <w:tmpl w:val="570E4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7171"/>
    <w:multiLevelType w:val="multilevel"/>
    <w:tmpl w:val="B1849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01688"/>
    <w:multiLevelType w:val="multilevel"/>
    <w:tmpl w:val="3E4C3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F2798"/>
    <w:multiLevelType w:val="multilevel"/>
    <w:tmpl w:val="5FE41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209F5"/>
    <w:multiLevelType w:val="multilevel"/>
    <w:tmpl w:val="3D54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107B2"/>
    <w:multiLevelType w:val="multilevel"/>
    <w:tmpl w:val="C71E7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74024"/>
    <w:multiLevelType w:val="hybridMultilevel"/>
    <w:tmpl w:val="A218E126"/>
    <w:lvl w:ilvl="0" w:tplc="FE802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36335"/>
    <w:multiLevelType w:val="hybridMultilevel"/>
    <w:tmpl w:val="D0922724"/>
    <w:lvl w:ilvl="0" w:tplc="1B529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54E3E"/>
    <w:multiLevelType w:val="multilevel"/>
    <w:tmpl w:val="DD80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A2546"/>
    <w:multiLevelType w:val="multilevel"/>
    <w:tmpl w:val="6CDA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C35F5"/>
    <w:multiLevelType w:val="multilevel"/>
    <w:tmpl w:val="79006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5"/>
    <w:rsid w:val="00023330"/>
    <w:rsid w:val="000967B4"/>
    <w:rsid w:val="001B1143"/>
    <w:rsid w:val="002007A4"/>
    <w:rsid w:val="00206A09"/>
    <w:rsid w:val="00224209"/>
    <w:rsid w:val="0025301C"/>
    <w:rsid w:val="00263248"/>
    <w:rsid w:val="00276364"/>
    <w:rsid w:val="00296B7C"/>
    <w:rsid w:val="00380E1C"/>
    <w:rsid w:val="0038488F"/>
    <w:rsid w:val="003D1807"/>
    <w:rsid w:val="003E4777"/>
    <w:rsid w:val="00442B87"/>
    <w:rsid w:val="0044605D"/>
    <w:rsid w:val="004531EF"/>
    <w:rsid w:val="00466E2A"/>
    <w:rsid w:val="00470440"/>
    <w:rsid w:val="004775C0"/>
    <w:rsid w:val="004A3347"/>
    <w:rsid w:val="004E39E1"/>
    <w:rsid w:val="005052B8"/>
    <w:rsid w:val="00511210"/>
    <w:rsid w:val="00544D87"/>
    <w:rsid w:val="00555DAA"/>
    <w:rsid w:val="005949B7"/>
    <w:rsid w:val="00597866"/>
    <w:rsid w:val="005B6259"/>
    <w:rsid w:val="005B651C"/>
    <w:rsid w:val="005E3BD2"/>
    <w:rsid w:val="005F3F94"/>
    <w:rsid w:val="00630BB0"/>
    <w:rsid w:val="00663A29"/>
    <w:rsid w:val="0067374A"/>
    <w:rsid w:val="00695789"/>
    <w:rsid w:val="007419F9"/>
    <w:rsid w:val="00792CE1"/>
    <w:rsid w:val="00823ACB"/>
    <w:rsid w:val="00851852"/>
    <w:rsid w:val="00870414"/>
    <w:rsid w:val="008B7E27"/>
    <w:rsid w:val="008E3E33"/>
    <w:rsid w:val="008F17F1"/>
    <w:rsid w:val="00946335"/>
    <w:rsid w:val="009F4EC9"/>
    <w:rsid w:val="00A5379F"/>
    <w:rsid w:val="00AD13F5"/>
    <w:rsid w:val="00AE7E39"/>
    <w:rsid w:val="00B36A65"/>
    <w:rsid w:val="00B96A33"/>
    <w:rsid w:val="00BF1F80"/>
    <w:rsid w:val="00C17D58"/>
    <w:rsid w:val="00C332F0"/>
    <w:rsid w:val="00C53477"/>
    <w:rsid w:val="00C54ADD"/>
    <w:rsid w:val="00C95EF6"/>
    <w:rsid w:val="00CA5319"/>
    <w:rsid w:val="00CB4528"/>
    <w:rsid w:val="00CB76E2"/>
    <w:rsid w:val="00CD383D"/>
    <w:rsid w:val="00CE7F8F"/>
    <w:rsid w:val="00CF3A8C"/>
    <w:rsid w:val="00D53342"/>
    <w:rsid w:val="00E27668"/>
    <w:rsid w:val="00E35D46"/>
    <w:rsid w:val="00E51D11"/>
    <w:rsid w:val="00E71758"/>
    <w:rsid w:val="00E969E9"/>
    <w:rsid w:val="00EC68F2"/>
    <w:rsid w:val="00F35410"/>
    <w:rsid w:val="00F376CF"/>
    <w:rsid w:val="00F40B0D"/>
    <w:rsid w:val="00F64440"/>
    <w:rsid w:val="00F7642A"/>
    <w:rsid w:val="00F77121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A1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7642A"/>
  </w:style>
  <w:style w:type="character" w:styleId="Hyperlink">
    <w:name w:val="Hyperlink"/>
    <w:basedOn w:val="DefaultParagraphFont"/>
    <w:uiPriority w:val="99"/>
    <w:semiHidden/>
    <w:unhideWhenUsed/>
    <w:rsid w:val="00F764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42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7BF9"/>
    <w:pPr>
      <w:ind w:left="720"/>
      <w:contextualSpacing/>
    </w:pPr>
  </w:style>
  <w:style w:type="table" w:styleId="TableGrid">
    <w:name w:val="Table Grid"/>
    <w:basedOn w:val="TableNormal"/>
    <w:uiPriority w:val="59"/>
    <w:rsid w:val="0051121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D38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64"/>
  </w:style>
  <w:style w:type="paragraph" w:styleId="Footer">
    <w:name w:val="footer"/>
    <w:basedOn w:val="Normal"/>
    <w:link w:val="FooterChar"/>
    <w:uiPriority w:val="99"/>
    <w:unhideWhenUsed/>
    <w:rsid w:val="0027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64"/>
  </w:style>
  <w:style w:type="paragraph" w:styleId="BalloonText">
    <w:name w:val="Balloon Text"/>
    <w:basedOn w:val="Normal"/>
    <w:link w:val="BalloonTextChar"/>
    <w:uiPriority w:val="99"/>
    <w:semiHidden/>
    <w:unhideWhenUsed/>
    <w:rsid w:val="008F1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1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44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7642A"/>
  </w:style>
  <w:style w:type="character" w:styleId="Hyperlink">
    <w:name w:val="Hyperlink"/>
    <w:basedOn w:val="DefaultParagraphFont"/>
    <w:uiPriority w:val="99"/>
    <w:semiHidden/>
    <w:unhideWhenUsed/>
    <w:rsid w:val="00F764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42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7BF9"/>
    <w:pPr>
      <w:ind w:left="720"/>
      <w:contextualSpacing/>
    </w:pPr>
  </w:style>
  <w:style w:type="table" w:styleId="TableGrid">
    <w:name w:val="Table Grid"/>
    <w:basedOn w:val="TableNormal"/>
    <w:uiPriority w:val="59"/>
    <w:rsid w:val="0051121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D38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64"/>
  </w:style>
  <w:style w:type="paragraph" w:styleId="Footer">
    <w:name w:val="footer"/>
    <w:basedOn w:val="Normal"/>
    <w:link w:val="FooterChar"/>
    <w:uiPriority w:val="99"/>
    <w:unhideWhenUsed/>
    <w:rsid w:val="0027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64"/>
  </w:style>
  <w:style w:type="paragraph" w:styleId="BalloonText">
    <w:name w:val="Balloon Text"/>
    <w:basedOn w:val="Normal"/>
    <w:link w:val="BalloonTextChar"/>
    <w:uiPriority w:val="99"/>
    <w:semiHidden/>
    <w:unhideWhenUsed/>
    <w:rsid w:val="008F1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1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44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D:\SEMESTER%208\TUGAS%20AKHIR\Penelitian\Perhitungan%20%20Rata2%20baru.xlsx" TargetMode="External"/><Relationship Id="rId3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3773932504537"/>
          <c:y val="0.0271629831682594"/>
          <c:w val="0.647391882543116"/>
          <c:h val="0.779086814676432"/>
        </c:manualLayout>
      </c:layout>
      <c:lineChart>
        <c:grouping val="standar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normal</c:v>
                </c:pt>
              </c:strCache>
            </c:strRef>
          </c:tx>
          <c:cat>
            <c:numRef>
              <c:f>Sheet2!$C$2:$I$2</c:f>
              <c:numCache>
                <c:formatCode>General</c:formatCode>
                <c:ptCount val="7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6.0</c:v>
                </c:pt>
                <c:pt idx="4">
                  <c:v>9.0</c:v>
                </c:pt>
                <c:pt idx="5">
                  <c:v>12.0</c:v>
                </c:pt>
                <c:pt idx="6">
                  <c:v>15.0</c:v>
                </c:pt>
              </c:numCache>
            </c:numRef>
          </c:cat>
          <c:val>
            <c:numRef>
              <c:f>Sheet2!$C$3:$I$3</c:f>
              <c:numCache>
                <c:formatCode>0</c:formatCode>
                <c:ptCount val="7"/>
                <c:pt idx="0" formatCode="General">
                  <c:v>167.0</c:v>
                </c:pt>
                <c:pt idx="1">
                  <c:v>106.5</c:v>
                </c:pt>
                <c:pt idx="2">
                  <c:v>117.75</c:v>
                </c:pt>
                <c:pt idx="3" formatCode="General">
                  <c:v>113.0</c:v>
                </c:pt>
                <c:pt idx="4">
                  <c:v>105.75</c:v>
                </c:pt>
                <c:pt idx="5">
                  <c:v>141.75</c:v>
                </c:pt>
                <c:pt idx="6">
                  <c:v>122.0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AC3-4F2C-B317-98B540E91D28}"/>
            </c:ext>
          </c:extLst>
        </c:ser>
        <c:ser>
          <c:idx val="1"/>
          <c:order val="1"/>
          <c:tx>
            <c:strRef>
              <c:f>Sheet2!$B$4</c:f>
              <c:strCache>
                <c:ptCount val="1"/>
                <c:pt idx="0">
                  <c:v>negatif</c:v>
                </c:pt>
              </c:strCache>
            </c:strRef>
          </c:tx>
          <c:cat>
            <c:numRef>
              <c:f>Sheet2!$C$2:$I$2</c:f>
              <c:numCache>
                <c:formatCode>General</c:formatCode>
                <c:ptCount val="7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6.0</c:v>
                </c:pt>
                <c:pt idx="4">
                  <c:v>9.0</c:v>
                </c:pt>
                <c:pt idx="5">
                  <c:v>12.0</c:v>
                </c:pt>
                <c:pt idx="6">
                  <c:v>15.0</c:v>
                </c:pt>
              </c:numCache>
            </c:numRef>
          </c:cat>
          <c:val>
            <c:numRef>
              <c:f>Sheet2!$C$4:$I$4</c:f>
              <c:numCache>
                <c:formatCode>General</c:formatCode>
                <c:ptCount val="7"/>
                <c:pt idx="0">
                  <c:v>397.0</c:v>
                </c:pt>
                <c:pt idx="1">
                  <c:v>286.0</c:v>
                </c:pt>
                <c:pt idx="2" formatCode="0">
                  <c:v>306.5</c:v>
                </c:pt>
                <c:pt idx="3" formatCode="0">
                  <c:v>273.75</c:v>
                </c:pt>
                <c:pt idx="4" formatCode="0">
                  <c:v>415.25</c:v>
                </c:pt>
                <c:pt idx="5" formatCode="0">
                  <c:v>404.75</c:v>
                </c:pt>
                <c:pt idx="6">
                  <c:v>335.0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AC3-4F2C-B317-98B540E91D28}"/>
            </c:ext>
          </c:extLst>
        </c:ser>
        <c:ser>
          <c:idx val="2"/>
          <c:order val="2"/>
          <c:tx>
            <c:strRef>
              <c:f>Sheet2!$B$5</c:f>
              <c:strCache>
                <c:ptCount val="1"/>
                <c:pt idx="0">
                  <c:v>positif</c:v>
                </c:pt>
              </c:strCache>
            </c:strRef>
          </c:tx>
          <c:cat>
            <c:numRef>
              <c:f>Sheet2!$C$2:$I$2</c:f>
              <c:numCache>
                <c:formatCode>General</c:formatCode>
                <c:ptCount val="7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6.0</c:v>
                </c:pt>
                <c:pt idx="4">
                  <c:v>9.0</c:v>
                </c:pt>
                <c:pt idx="5">
                  <c:v>12.0</c:v>
                </c:pt>
                <c:pt idx="6">
                  <c:v>15.0</c:v>
                </c:pt>
              </c:numCache>
            </c:numRef>
          </c:cat>
          <c:val>
            <c:numRef>
              <c:f>Sheet2!$C$5:$I$5</c:f>
              <c:numCache>
                <c:formatCode>0</c:formatCode>
                <c:ptCount val="7"/>
                <c:pt idx="0">
                  <c:v>465.0</c:v>
                </c:pt>
                <c:pt idx="1">
                  <c:v>407.0</c:v>
                </c:pt>
                <c:pt idx="2">
                  <c:v>364.0</c:v>
                </c:pt>
                <c:pt idx="3">
                  <c:v>291.0</c:v>
                </c:pt>
                <c:pt idx="4">
                  <c:v>190.0</c:v>
                </c:pt>
                <c:pt idx="5">
                  <c:v>137.0</c:v>
                </c:pt>
                <c:pt idx="6">
                  <c:v>92.0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AC3-4F2C-B317-98B540E91D28}"/>
            </c:ext>
          </c:extLst>
        </c:ser>
        <c:ser>
          <c:idx val="3"/>
          <c:order val="3"/>
          <c:tx>
            <c:strRef>
              <c:f>Sheet2!$B$6</c:f>
              <c:strCache>
                <c:ptCount val="1"/>
                <c:pt idx="0">
                  <c:v>Formula A</c:v>
                </c:pt>
              </c:strCache>
            </c:strRef>
          </c:tx>
          <c:cat>
            <c:numRef>
              <c:f>Sheet2!$C$2:$I$2</c:f>
              <c:numCache>
                <c:formatCode>General</c:formatCode>
                <c:ptCount val="7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6.0</c:v>
                </c:pt>
                <c:pt idx="4">
                  <c:v>9.0</c:v>
                </c:pt>
                <c:pt idx="5">
                  <c:v>12.0</c:v>
                </c:pt>
                <c:pt idx="6">
                  <c:v>15.0</c:v>
                </c:pt>
              </c:numCache>
            </c:numRef>
          </c:cat>
          <c:val>
            <c:numRef>
              <c:f>Sheet2!$C$6:$I$6</c:f>
              <c:numCache>
                <c:formatCode>General</c:formatCode>
                <c:ptCount val="7"/>
                <c:pt idx="0">
                  <c:v>472.0</c:v>
                </c:pt>
                <c:pt idx="1">
                  <c:v>251.0</c:v>
                </c:pt>
                <c:pt idx="2">
                  <c:v>291.0</c:v>
                </c:pt>
                <c:pt idx="3">
                  <c:v>270.0</c:v>
                </c:pt>
                <c:pt idx="4">
                  <c:v>341.0</c:v>
                </c:pt>
                <c:pt idx="5">
                  <c:v>174.0</c:v>
                </c:pt>
                <c:pt idx="6">
                  <c:v>121.0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AC3-4F2C-B317-98B540E91D28}"/>
            </c:ext>
          </c:extLst>
        </c:ser>
        <c:ser>
          <c:idx val="4"/>
          <c:order val="4"/>
          <c:tx>
            <c:strRef>
              <c:f>Sheet2!$B$7</c:f>
              <c:strCache>
                <c:ptCount val="1"/>
                <c:pt idx="0">
                  <c:v>Formula B</c:v>
                </c:pt>
              </c:strCache>
            </c:strRef>
          </c:tx>
          <c:cat>
            <c:numRef>
              <c:f>Sheet2!$C$2:$I$2</c:f>
              <c:numCache>
                <c:formatCode>General</c:formatCode>
                <c:ptCount val="7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6.0</c:v>
                </c:pt>
                <c:pt idx="4">
                  <c:v>9.0</c:v>
                </c:pt>
                <c:pt idx="5">
                  <c:v>12.0</c:v>
                </c:pt>
                <c:pt idx="6">
                  <c:v>15.0</c:v>
                </c:pt>
              </c:numCache>
            </c:numRef>
          </c:cat>
          <c:val>
            <c:numRef>
              <c:f>Sheet2!$C$7:$I$7</c:f>
              <c:numCache>
                <c:formatCode>0</c:formatCode>
                <c:ptCount val="7"/>
                <c:pt idx="0">
                  <c:v>470.0</c:v>
                </c:pt>
                <c:pt idx="1">
                  <c:v>373.0</c:v>
                </c:pt>
                <c:pt idx="2">
                  <c:v>243.0</c:v>
                </c:pt>
                <c:pt idx="3">
                  <c:v>136.0</c:v>
                </c:pt>
                <c:pt idx="4">
                  <c:v>167.0</c:v>
                </c:pt>
                <c:pt idx="5">
                  <c:v>166.0</c:v>
                </c:pt>
                <c:pt idx="6">
                  <c:v>101.0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AC3-4F2C-B317-98B540E91D28}"/>
            </c:ext>
          </c:extLst>
        </c:ser>
        <c:ser>
          <c:idx val="5"/>
          <c:order val="5"/>
          <c:tx>
            <c:strRef>
              <c:f>Sheet2!$B$8</c:f>
              <c:strCache>
                <c:ptCount val="1"/>
                <c:pt idx="0">
                  <c:v>Formula C</c:v>
                </c:pt>
              </c:strCache>
            </c:strRef>
          </c:tx>
          <c:cat>
            <c:numRef>
              <c:f>Sheet2!$C$2:$I$2</c:f>
              <c:numCache>
                <c:formatCode>General</c:formatCode>
                <c:ptCount val="7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6.0</c:v>
                </c:pt>
                <c:pt idx="4">
                  <c:v>9.0</c:v>
                </c:pt>
                <c:pt idx="5">
                  <c:v>12.0</c:v>
                </c:pt>
                <c:pt idx="6">
                  <c:v>15.0</c:v>
                </c:pt>
              </c:numCache>
            </c:numRef>
          </c:cat>
          <c:val>
            <c:numRef>
              <c:f>Sheet2!$C$8:$I$8</c:f>
              <c:numCache>
                <c:formatCode>General</c:formatCode>
                <c:ptCount val="7"/>
                <c:pt idx="0">
                  <c:v>468.0</c:v>
                </c:pt>
                <c:pt idx="1">
                  <c:v>266.0</c:v>
                </c:pt>
                <c:pt idx="2">
                  <c:v>249.0</c:v>
                </c:pt>
                <c:pt idx="3">
                  <c:v>163.0</c:v>
                </c:pt>
                <c:pt idx="4">
                  <c:v>128.0</c:v>
                </c:pt>
                <c:pt idx="5">
                  <c:v>127.0</c:v>
                </c:pt>
                <c:pt idx="6">
                  <c:v>93.0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AC3-4F2C-B317-98B540E91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5416664"/>
        <c:axId val="2085419800"/>
      </c:lineChart>
      <c:catAx>
        <c:axId val="208541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85419800"/>
        <c:crosses val="autoZero"/>
        <c:auto val="1"/>
        <c:lblAlgn val="ctr"/>
        <c:lblOffset val="100"/>
        <c:noMultiLvlLbl val="0"/>
      </c:catAx>
      <c:valAx>
        <c:axId val="2085419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Blood Glucose Level mg/dL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85416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0.39887</cdr:x>
      <cdr:y>0.89554</cdr:y>
    </cdr:from>
    <cdr:to>
      <cdr:x>0.53805</cdr:x>
      <cdr:y>0.98089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9849" y="2425377"/>
          <a:ext cx="662940" cy="23114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ysClr val="window" lastClr="FFFFFF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Day at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1921</Words>
  <Characters>10951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</dc:creator>
  <cp:keywords/>
  <dc:description/>
  <cp:lastModifiedBy>Hidayah Rahmah</cp:lastModifiedBy>
  <cp:revision>2</cp:revision>
  <dcterms:created xsi:type="dcterms:W3CDTF">2020-02-19T02:48:00Z</dcterms:created>
  <dcterms:modified xsi:type="dcterms:W3CDTF">2020-02-19T02:48:00Z</dcterms:modified>
</cp:coreProperties>
</file>